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88" w:rsidRPr="008A4A81" w:rsidRDefault="00E04688" w:rsidP="00E04688">
      <w:pPr>
        <w:jc w:val="right"/>
        <w:rPr>
          <w:b/>
          <w:lang w:val="bg-BG" w:eastAsia="bg-BG"/>
        </w:rPr>
      </w:pPr>
      <w:r>
        <w:rPr>
          <w:b/>
          <w:lang w:val="bg-BG" w:eastAsia="bg-BG"/>
        </w:rPr>
        <w:t>Приложение № 1</w:t>
      </w:r>
      <w:r w:rsidRPr="008A4A81">
        <w:rPr>
          <w:b/>
          <w:lang w:val="bg-BG" w:eastAsia="bg-BG"/>
        </w:rPr>
        <w:tab/>
      </w:r>
    </w:p>
    <w:p w:rsidR="00E04688" w:rsidRPr="008A4A81" w:rsidRDefault="00E04688" w:rsidP="00E04688">
      <w:pPr>
        <w:jc w:val="center"/>
        <w:rPr>
          <w:b/>
          <w:lang w:val="bg-BG" w:eastAsia="bg-BG"/>
        </w:rPr>
      </w:pPr>
      <w:r w:rsidRPr="008A4A81">
        <w:rPr>
          <w:b/>
          <w:lang w:val="bg-BG" w:eastAsia="bg-BG"/>
        </w:rPr>
        <w:t>ТЕХНИЧЕСКА СПЕЦИФИКАЦИЯ</w:t>
      </w:r>
    </w:p>
    <w:p w:rsidR="00E04688" w:rsidRPr="008A4A81" w:rsidRDefault="00E04688" w:rsidP="00E04688">
      <w:pPr>
        <w:jc w:val="center"/>
        <w:rPr>
          <w:b/>
          <w:lang w:val="bg-BG" w:eastAsia="bg-BG"/>
        </w:rPr>
      </w:pPr>
    </w:p>
    <w:p w:rsidR="00E04688" w:rsidRPr="008A4A81" w:rsidRDefault="00E04688" w:rsidP="00E04688">
      <w:pPr>
        <w:autoSpaceDE w:val="0"/>
        <w:autoSpaceDN w:val="0"/>
        <w:adjustRightInd w:val="0"/>
        <w:jc w:val="both"/>
        <w:rPr>
          <w:rFonts w:eastAsia="Calibri"/>
          <w:lang w:val="bg-BG"/>
        </w:rPr>
      </w:pPr>
      <w:r w:rsidRPr="008A4A81">
        <w:rPr>
          <w:lang w:val="bg-BG" w:eastAsia="bg-BG"/>
        </w:rPr>
        <w:t>за изпълнение на обществена поръчка с предмет: „Изготвяне на техническа документация (</w:t>
      </w:r>
      <w:r w:rsidRPr="008A4A81">
        <w:rPr>
          <w:i/>
          <w:lang w:val="bg-BG"/>
        </w:rPr>
        <w:t>технически задания, методики за оценка и критерии за подбор на участници</w:t>
      </w:r>
      <w:r w:rsidRPr="008A4A81">
        <w:rPr>
          <w:lang w:val="bg-BG" w:eastAsia="bg-BG"/>
        </w:rPr>
        <w:t xml:space="preserve">) за провеждане на процедури по ЗОП, във връзка с изпълнението на проект </w:t>
      </w:r>
      <w:r w:rsidRPr="00D33AB4">
        <w:rPr>
          <w:rFonts w:eastAsia="Calibri"/>
          <w:lang w:val="bg-BG"/>
        </w:rPr>
        <w:t>BG05SFOP001-1.001-0002 с наименование: „Трансформация на модела на административно обслужване“, финансиран от ОП „Добро управление“, процедура BG05SFOP001-1.001 с Бенефициент - Администрацията на Министерски съвет</w:t>
      </w:r>
    </w:p>
    <w:p w:rsidR="00E04688" w:rsidRPr="008A4A81" w:rsidRDefault="00E04688" w:rsidP="00E04688">
      <w:pPr>
        <w:jc w:val="both"/>
        <w:rPr>
          <w:lang w:val="ru-RU" w:eastAsia="bg-BG"/>
        </w:rPr>
      </w:pPr>
    </w:p>
    <w:p w:rsidR="00E04688" w:rsidRPr="008A4A81" w:rsidRDefault="00E04688" w:rsidP="00E04688">
      <w:pPr>
        <w:rPr>
          <w:lang w:val="bg-BG" w:eastAsia="bg-BG"/>
        </w:rPr>
      </w:pPr>
    </w:p>
    <w:p w:rsidR="00E04688" w:rsidRPr="008A4A81" w:rsidRDefault="00E04688" w:rsidP="00E04688">
      <w:pPr>
        <w:numPr>
          <w:ilvl w:val="0"/>
          <w:numId w:val="22"/>
        </w:numPr>
        <w:jc w:val="both"/>
        <w:rPr>
          <w:b/>
          <w:lang w:eastAsia="bg-BG"/>
        </w:rPr>
      </w:pPr>
      <w:r w:rsidRPr="008A4A81">
        <w:rPr>
          <w:b/>
          <w:lang w:val="bg-BG" w:eastAsia="bg-BG"/>
        </w:rPr>
        <w:t>ОБЩА ИНФОРМАЦИЯ</w:t>
      </w:r>
    </w:p>
    <w:p w:rsidR="00E04688" w:rsidRPr="008A4A81" w:rsidRDefault="00E04688" w:rsidP="00E04688">
      <w:pPr>
        <w:ind w:left="360"/>
        <w:jc w:val="both"/>
        <w:rPr>
          <w:b/>
          <w:lang w:eastAsia="bg-BG"/>
        </w:rPr>
      </w:pPr>
    </w:p>
    <w:p w:rsidR="00E04688" w:rsidRPr="008A4A81" w:rsidRDefault="00E04688" w:rsidP="00E04688">
      <w:pPr>
        <w:ind w:left="360"/>
        <w:jc w:val="both"/>
        <w:rPr>
          <w:b/>
          <w:i/>
          <w:lang w:val="bg-BG" w:eastAsia="bg-BG"/>
        </w:rPr>
      </w:pPr>
    </w:p>
    <w:p w:rsidR="00E04688" w:rsidRPr="008A4A81" w:rsidRDefault="00E04688" w:rsidP="00E04688">
      <w:pPr>
        <w:autoSpaceDE w:val="0"/>
        <w:autoSpaceDN w:val="0"/>
        <w:adjustRightInd w:val="0"/>
        <w:jc w:val="both"/>
        <w:rPr>
          <w:lang w:val="bg-BG" w:eastAsia="bg-BG"/>
        </w:rPr>
      </w:pPr>
      <w:r w:rsidRPr="008A4A81">
        <w:rPr>
          <w:lang w:val="bg-BG" w:eastAsia="bg-BG"/>
        </w:rPr>
        <w:t xml:space="preserve">Поръчката се обявява във връзка с изпълнението на проект </w:t>
      </w:r>
      <w:r w:rsidRPr="00D33AB4">
        <w:rPr>
          <w:lang w:val="bg-BG" w:eastAsia="bg-BG"/>
        </w:rPr>
        <w:t>BG05SFOP001-1.001-0002 с наименование: „Трансформация на модела на административно обслужване“, финансиран от ОП „Добро управление“, процедура BG05SFOP001-1.001 с Бенефициент - Админ</w:t>
      </w:r>
      <w:r>
        <w:rPr>
          <w:lang w:val="bg-BG" w:eastAsia="bg-BG"/>
        </w:rPr>
        <w:t>истрацията на Министерски съвет</w:t>
      </w:r>
      <w:r w:rsidRPr="008A4A81">
        <w:rPr>
          <w:lang w:val="bg-BG" w:eastAsia="bg-BG"/>
        </w:rPr>
        <w:t>.</w:t>
      </w:r>
    </w:p>
    <w:p w:rsidR="00E04688" w:rsidRPr="008A4A81" w:rsidRDefault="00E04688" w:rsidP="00E04688">
      <w:pPr>
        <w:jc w:val="both"/>
        <w:rPr>
          <w:lang w:val="bg-BG" w:eastAsia="bg-BG"/>
        </w:rPr>
      </w:pPr>
    </w:p>
    <w:p w:rsidR="00E04688" w:rsidRPr="008A4A81" w:rsidRDefault="00E04688" w:rsidP="00E04688">
      <w:pPr>
        <w:numPr>
          <w:ilvl w:val="0"/>
          <w:numId w:val="25"/>
        </w:numPr>
        <w:contextualSpacing/>
        <w:jc w:val="both"/>
        <w:rPr>
          <w:lang w:val="bg-BG" w:eastAsia="bg-BG"/>
        </w:rPr>
      </w:pPr>
      <w:r w:rsidRPr="008A4A81">
        <w:rPr>
          <w:lang w:val="bg-BG" w:eastAsia="bg-BG"/>
        </w:rPr>
        <w:t xml:space="preserve">Описание на проекта </w:t>
      </w:r>
    </w:p>
    <w:p w:rsidR="00E04688" w:rsidRPr="008A4A81" w:rsidRDefault="00E04688" w:rsidP="00E04688">
      <w:pPr>
        <w:jc w:val="both"/>
        <w:rPr>
          <w:lang w:val="bg-BG" w:eastAsia="bg-BG"/>
        </w:rPr>
      </w:pPr>
    </w:p>
    <w:p w:rsidR="00E04688" w:rsidRPr="008A4A81" w:rsidRDefault="00E04688" w:rsidP="00E04688">
      <w:pPr>
        <w:autoSpaceDE w:val="0"/>
        <w:autoSpaceDN w:val="0"/>
        <w:adjustRightInd w:val="0"/>
        <w:jc w:val="both"/>
        <w:rPr>
          <w:lang w:val="bg-BG" w:eastAsia="bg-BG"/>
        </w:rPr>
      </w:pPr>
      <w:r w:rsidRPr="008A4A81">
        <w:rPr>
          <w:lang w:val="bg-BG" w:eastAsia="bg-BG"/>
        </w:rPr>
        <w:t>Трансформацията на административното обслужване се състои в превръщането на удостоверителните услуги за гражданите и бизнеса във вътрешно-административни; електронизиране на услугите, чиито краен ползвател са гражданите и бизнеса; групиране на услугите на принципа „Епизоди от живота“ и „Събития от бизнеса“ по начина, по който ги възприемат гражданите и бизнеса и осигуряване на комплексно административно обслужване. Проектът е първа фаза на трансформация на настоящия модел на обслужване, като в обхвата му се включват надграждане на две стратегически информационни системи и пилотно внедряване в 50 администрации на централизиран механизъм за служебно заявяване и издаване на удостоверения; инвентаризация на режими, услуги и регистри, участващи в административното обслужване с цел премахване на необходимостта гражданите и бизнеса да бъдат куриери между администрациите и намаляване на броя режими; идентифициране на възможности за консолидиране, преструктуриране, централизиране, електронизиране и отваряне на регистрите в държавната администрация; групиране на услугите на принципа „Епизоди от живота“ и „Събития от бизнеса“ и пилотно внедряване на две от тях; опростяване и унифициране на процеси по предоставяне на минимум 17 услуги на общинско ниво. Основна цел на проекта е осигуряване на по-високо въздействие, устойчивост, ефективност и прозрачно приоритизиране на бъдещи проекти и инициативи, свързани с административната реформа, комплексното административно обслужване и е-управлението на централните и териториалните администрации и определени доставчици на обществени услуги, чрез пълен преглед на съществуващите регистри, режими и услуги, опростяване и рационализиране на работните процеси и дефиниране на конкретни мерки за подобряване на съответната нормативна уредба.</w:t>
      </w:r>
    </w:p>
    <w:p w:rsidR="00E04688" w:rsidRPr="008A4A81" w:rsidRDefault="00E04688" w:rsidP="00E04688">
      <w:pPr>
        <w:jc w:val="both"/>
        <w:rPr>
          <w:lang w:val="bg-BG" w:eastAsia="bg-BG"/>
        </w:rPr>
      </w:pPr>
    </w:p>
    <w:p w:rsidR="00E04688" w:rsidRPr="008A4A81" w:rsidRDefault="00E04688" w:rsidP="00E04688">
      <w:pPr>
        <w:numPr>
          <w:ilvl w:val="0"/>
          <w:numId w:val="25"/>
        </w:numPr>
        <w:contextualSpacing/>
        <w:jc w:val="both"/>
        <w:rPr>
          <w:lang w:val="bg-BG" w:eastAsia="bg-BG"/>
        </w:rPr>
      </w:pPr>
      <w:r w:rsidRPr="008A4A81">
        <w:rPr>
          <w:lang w:val="bg-BG" w:eastAsia="bg-BG"/>
        </w:rPr>
        <w:t>Цели на проекта</w:t>
      </w:r>
    </w:p>
    <w:p w:rsidR="00E04688" w:rsidRPr="008A4A81" w:rsidRDefault="00E04688" w:rsidP="00E04688">
      <w:pPr>
        <w:ind w:left="720"/>
        <w:contextualSpacing/>
        <w:jc w:val="both"/>
        <w:rPr>
          <w:lang w:val="bg-BG" w:eastAsia="bg-BG"/>
        </w:rPr>
      </w:pPr>
    </w:p>
    <w:p w:rsidR="00E04688" w:rsidRPr="008A4A81" w:rsidRDefault="00E04688" w:rsidP="00E04688">
      <w:pPr>
        <w:autoSpaceDE w:val="0"/>
        <w:autoSpaceDN w:val="0"/>
        <w:adjustRightInd w:val="0"/>
        <w:jc w:val="both"/>
        <w:rPr>
          <w:lang w:val="bg-BG" w:eastAsia="bg-BG"/>
        </w:rPr>
      </w:pPr>
      <w:r w:rsidRPr="008A4A81">
        <w:rPr>
          <w:lang w:val="bg-BG" w:eastAsia="bg-BG"/>
        </w:rPr>
        <w:lastRenderedPageBreak/>
        <w:t>Основната цел на проекта е осигуряване на по-високо въздействие, устойчивост, ефективност и прозрачно приоритизиране на бъдещи интервенции свързани с административната реформа, комплексното административно обслужване и е-Управлението, чрез пълен одит на съществуващите регистри, режими, процеси и услуги, опростяване и рационализиране на работните процеси и дефиниране на конкретни мерки за подобряване на нормативната уредба.</w:t>
      </w:r>
    </w:p>
    <w:p w:rsidR="00E04688" w:rsidRPr="008A4A81" w:rsidRDefault="00E04688" w:rsidP="00E04688">
      <w:pPr>
        <w:jc w:val="both"/>
        <w:rPr>
          <w:color w:val="333333"/>
          <w:shd w:val="clear" w:color="auto" w:fill="FFFFFF"/>
          <w:lang w:val="bg-BG"/>
        </w:rPr>
      </w:pPr>
    </w:p>
    <w:p w:rsidR="00E04688" w:rsidRPr="008A4A81" w:rsidRDefault="00E04688" w:rsidP="00E04688">
      <w:pPr>
        <w:jc w:val="both"/>
        <w:rPr>
          <w:lang w:eastAsia="bg-BG"/>
        </w:rPr>
      </w:pPr>
    </w:p>
    <w:p w:rsidR="00E04688" w:rsidRPr="008A4A81" w:rsidRDefault="00E04688" w:rsidP="00E04688">
      <w:pPr>
        <w:jc w:val="center"/>
        <w:rPr>
          <w:lang w:val="bg-BG" w:eastAsia="bg-BG"/>
        </w:rPr>
      </w:pPr>
      <w:r w:rsidRPr="008A4A81">
        <w:rPr>
          <w:lang w:val="bg-BG" w:eastAsia="bg-BG"/>
        </w:rPr>
        <w:t>Специфичните цели на проекта са:</w:t>
      </w:r>
    </w:p>
    <w:p w:rsidR="00E04688" w:rsidRPr="008A4A81" w:rsidRDefault="00E04688" w:rsidP="00E04688">
      <w:pPr>
        <w:jc w:val="both"/>
        <w:rPr>
          <w:lang w:eastAsia="bg-BG"/>
        </w:rPr>
      </w:pPr>
      <w:r w:rsidRPr="008A4A81">
        <w:rPr>
          <w:lang w:val="bg-BG" w:eastAsia="bg-BG"/>
        </w:rPr>
        <w:t xml:space="preserve">Специфична цел 1 „Подобряване на модела на организация и поддържане на регистрите в държавната администрация.“ </w:t>
      </w:r>
    </w:p>
    <w:p w:rsidR="00E04688" w:rsidRPr="008A4A81" w:rsidRDefault="00E04688" w:rsidP="00E04688">
      <w:pPr>
        <w:jc w:val="both"/>
        <w:rPr>
          <w:lang w:eastAsia="bg-BG"/>
        </w:rPr>
      </w:pPr>
      <w:r w:rsidRPr="008A4A81">
        <w:rPr>
          <w:lang w:val="bg-BG" w:eastAsia="bg-BG"/>
        </w:rPr>
        <w:t>Специфична цел 2 „Премахване на пречките за въвеждане на комплексно административно обслужване, съдържащи се в специалните закони.“</w:t>
      </w:r>
    </w:p>
    <w:p w:rsidR="00E04688" w:rsidRPr="008A4A81" w:rsidRDefault="00E04688" w:rsidP="00E04688">
      <w:pPr>
        <w:jc w:val="both"/>
        <w:rPr>
          <w:lang w:eastAsia="bg-BG"/>
        </w:rPr>
      </w:pPr>
      <w:r w:rsidRPr="008A4A81">
        <w:rPr>
          <w:lang w:val="bg-BG" w:eastAsia="bg-BG"/>
        </w:rPr>
        <w:t xml:space="preserve">Специфична цел 3 „Усъвършенстване на работните процеси по предоставяне на административните услуги за въвеждане на комплексното обслужване и обслужване на принципа "Епизоди от живота" и "Събития от бизнеса.“ </w:t>
      </w:r>
    </w:p>
    <w:p w:rsidR="00E04688" w:rsidRPr="008A4A81" w:rsidRDefault="00E04688" w:rsidP="00E04688">
      <w:pPr>
        <w:jc w:val="both"/>
        <w:rPr>
          <w:lang w:eastAsia="bg-BG"/>
        </w:rPr>
      </w:pPr>
      <w:r w:rsidRPr="008A4A81">
        <w:rPr>
          <w:lang w:val="bg-BG" w:eastAsia="bg-BG"/>
        </w:rPr>
        <w:t>Специфична цел 4 „Стандартизиране на ключови за гражданите и бизнеса услуги на общините.“</w:t>
      </w:r>
    </w:p>
    <w:p w:rsidR="00E04688" w:rsidRPr="008A4A81" w:rsidRDefault="00E04688" w:rsidP="00E04688">
      <w:pPr>
        <w:jc w:val="both"/>
        <w:rPr>
          <w:lang w:eastAsia="bg-BG"/>
        </w:rPr>
      </w:pPr>
    </w:p>
    <w:p w:rsidR="00E04688" w:rsidRPr="008A4A81" w:rsidRDefault="00E04688" w:rsidP="00E04688">
      <w:pPr>
        <w:jc w:val="both"/>
        <w:rPr>
          <w:lang w:val="bg-BG" w:eastAsia="bg-BG"/>
        </w:rPr>
      </w:pPr>
    </w:p>
    <w:p w:rsidR="00E04688" w:rsidRPr="008A4A81" w:rsidRDefault="00E04688" w:rsidP="00E04688">
      <w:pPr>
        <w:numPr>
          <w:ilvl w:val="0"/>
          <w:numId w:val="25"/>
        </w:numPr>
        <w:ind w:firstLine="360"/>
        <w:jc w:val="both"/>
        <w:rPr>
          <w:lang w:val="bg-BG" w:eastAsia="bg-BG"/>
        </w:rPr>
      </w:pPr>
      <w:r w:rsidRPr="008A4A81">
        <w:rPr>
          <w:lang w:val="bg-BG" w:eastAsia="bg-BG"/>
        </w:rPr>
        <w:t>Процедурите, с кратко описание за проектната дейност, по която ще се обявяват са описани  както следва:</w:t>
      </w:r>
    </w:p>
    <w:p w:rsidR="00E04688" w:rsidRPr="008A4A81" w:rsidRDefault="00E04688" w:rsidP="00E04688">
      <w:pPr>
        <w:jc w:val="both"/>
        <w:rPr>
          <w:lang w:val="bg-BG" w:eastAsia="bg-BG"/>
        </w:rPr>
      </w:pPr>
    </w:p>
    <w:p w:rsidR="00E04688" w:rsidRPr="008A4A81" w:rsidRDefault="00E04688" w:rsidP="00E04688">
      <w:pPr>
        <w:autoSpaceDE w:val="0"/>
        <w:autoSpaceDN w:val="0"/>
        <w:adjustRightInd w:val="0"/>
        <w:jc w:val="both"/>
        <w:rPr>
          <w:rFonts w:eastAsia="Calibri"/>
          <w:i/>
          <w:lang w:val="bg-BG"/>
        </w:rPr>
      </w:pPr>
      <w:r w:rsidRPr="008A4A81">
        <w:rPr>
          <w:b/>
          <w:u w:val="single"/>
          <w:lang w:val="bg-BG" w:eastAsia="bg-BG"/>
        </w:rPr>
        <w:t>Процедура 1:</w:t>
      </w:r>
      <w:r w:rsidRPr="008A4A81">
        <w:rPr>
          <w:lang w:val="bg-BG" w:eastAsia="bg-BG"/>
        </w:rPr>
        <w:t xml:space="preserve"> „</w:t>
      </w:r>
      <w:r w:rsidRPr="008A4A81">
        <w:rPr>
          <w:rFonts w:eastAsia="Calibri"/>
          <w:i/>
          <w:lang w:val="bg-BG"/>
        </w:rPr>
        <w:t xml:space="preserve">Проектиране, програмиране, изграждане и пилотно внедряване на централизиран механизъм за служебно заявяване и издаване на удостоверения от налични системи“ </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Индикативна дата на обявяване:  15.04.2016 г.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Максимална прогнозна стойност: 208 333,33 /двеста и осем хиляди триста тридесет и три лева и тридесет и три стотинки/ лв.,  без включен ДДС</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Обществената поръчка, чието техническо задание и методика за оценка</w:t>
      </w:r>
      <w:r w:rsidRPr="008A4A81">
        <w:rPr>
          <w:rFonts w:eastAsia="Calibri"/>
        </w:rPr>
        <w:t xml:space="preserve"> </w:t>
      </w:r>
      <w:r w:rsidRPr="008A4A81">
        <w:rPr>
          <w:rFonts w:eastAsia="Calibri"/>
          <w:lang w:val="bg-BG"/>
        </w:rPr>
        <w:t xml:space="preserve">на офертите следва да се разработят от изпълнителя по настоящата обществена поръчка е част от изпълнението на </w:t>
      </w:r>
      <w:r w:rsidRPr="008A4A81">
        <w:rPr>
          <w:rFonts w:eastAsia="Calibri"/>
          <w:i/>
          <w:lang w:val="bg-BG"/>
        </w:rPr>
        <w:t>Дейност 1</w:t>
      </w:r>
      <w:r w:rsidRPr="008A4A81">
        <w:rPr>
          <w:rFonts w:eastAsia="Calibri"/>
          <w:lang w:val="bg-BG"/>
        </w:rPr>
        <w:t xml:space="preserve"> на проекта на Възложителя, която дейност цели извършване на надграждане на специализираните системи в администрациите  и интегрирането им със системата </w:t>
      </w:r>
      <w:r w:rsidRPr="008A4A81">
        <w:rPr>
          <w:rFonts w:eastAsia="Calibri"/>
        </w:rPr>
        <w:t>RegiX</w:t>
      </w:r>
      <w:r w:rsidRPr="008A4A81">
        <w:rPr>
          <w:rFonts w:eastAsia="Calibri"/>
          <w:lang w:val="bg-BG"/>
        </w:rPr>
        <w:t xml:space="preserve">. В тази връзка изпълнителят на дейността ще трябва да моделира и разработи електронни форми (потребителски интерфейс) и/или процеси, позволяващи на служителите в администрациите да заявяват и получават по служебен път електронни удостоверения от регистрите, интегрирани в </w:t>
      </w:r>
      <w:r w:rsidRPr="008A4A81">
        <w:rPr>
          <w:rFonts w:eastAsia="Calibri"/>
        </w:rPr>
        <w:t>RegiX</w:t>
      </w:r>
      <w:r w:rsidRPr="008A4A81">
        <w:rPr>
          <w:rFonts w:eastAsia="Calibri"/>
          <w:lang w:val="bg-BG"/>
        </w:rPr>
        <w:t>. За да се осигури законосъобразност на издаваните по служебен път удостоверения е необходимо и функционалното надграждане на RegiX и потребителския интерфейс към него в следните области:</w:t>
      </w:r>
    </w:p>
    <w:p w:rsidR="00E04688" w:rsidRPr="008A4A81" w:rsidRDefault="00E04688" w:rsidP="00E04688">
      <w:pPr>
        <w:autoSpaceDE w:val="0"/>
        <w:autoSpaceDN w:val="0"/>
        <w:adjustRightInd w:val="0"/>
        <w:jc w:val="both"/>
        <w:rPr>
          <w:rFonts w:eastAsia="Calibri"/>
        </w:rPr>
      </w:pPr>
      <w:r w:rsidRPr="008A4A81">
        <w:rPr>
          <w:rFonts w:eastAsia="Calibri"/>
          <w:lang w:val="bg-BG"/>
        </w:rPr>
        <w:t xml:space="preserve">1. Създаване на възможност за интеграция с националната система за електронна идентификация, която се разработва паралелно; </w:t>
      </w:r>
    </w:p>
    <w:p w:rsidR="00E04688" w:rsidRPr="008A4A81" w:rsidRDefault="00E04688" w:rsidP="00E04688">
      <w:pPr>
        <w:autoSpaceDE w:val="0"/>
        <w:autoSpaceDN w:val="0"/>
        <w:adjustRightInd w:val="0"/>
        <w:jc w:val="both"/>
        <w:rPr>
          <w:rFonts w:eastAsia="Calibri"/>
        </w:rPr>
      </w:pPr>
      <w:r w:rsidRPr="008A4A81">
        <w:rPr>
          <w:rFonts w:eastAsia="Calibri"/>
          <w:lang w:val="bg-BG"/>
        </w:rPr>
        <w:t xml:space="preserve">2. Интеграция с Интегрирана информационна система на държавната администрация /ИИСДА/, в частност Регистъра на услугите, в който се вписват допустимите заявители и получатели на административни услуги; </w:t>
      </w:r>
    </w:p>
    <w:p w:rsidR="00E04688" w:rsidRPr="008A4A81" w:rsidRDefault="00E04688" w:rsidP="00E04688">
      <w:pPr>
        <w:autoSpaceDE w:val="0"/>
        <w:autoSpaceDN w:val="0"/>
        <w:adjustRightInd w:val="0"/>
        <w:jc w:val="both"/>
        <w:rPr>
          <w:rFonts w:eastAsia="Calibri"/>
        </w:rPr>
      </w:pPr>
      <w:r w:rsidRPr="008A4A81">
        <w:rPr>
          <w:rFonts w:eastAsia="Calibri"/>
          <w:lang w:val="bg-BG"/>
        </w:rPr>
        <w:t xml:space="preserve">3. Интеграция със системата за Digital Time Stamp (цифрово подписано точно време от доставчик на удостоверителни услуги) при регистриране на всички служебни заявки и отговори; </w:t>
      </w:r>
    </w:p>
    <w:p w:rsidR="00E04688" w:rsidRPr="008A4A81" w:rsidRDefault="00E04688" w:rsidP="00E04688">
      <w:pPr>
        <w:autoSpaceDE w:val="0"/>
        <w:autoSpaceDN w:val="0"/>
        <w:adjustRightInd w:val="0"/>
        <w:jc w:val="both"/>
        <w:rPr>
          <w:rFonts w:eastAsia="Calibri"/>
        </w:rPr>
      </w:pPr>
      <w:r w:rsidRPr="008A4A81">
        <w:rPr>
          <w:rFonts w:eastAsia="Calibri"/>
          <w:lang w:val="bg-BG"/>
        </w:rPr>
        <w:t xml:space="preserve">4. Осигуряване на възможност за реализиране на сигурен електронен архив на издадените електронни документи. </w:t>
      </w:r>
    </w:p>
    <w:p w:rsidR="00E04688" w:rsidRPr="008A4A81" w:rsidRDefault="00E04688" w:rsidP="00E04688">
      <w:pPr>
        <w:autoSpaceDE w:val="0"/>
        <w:autoSpaceDN w:val="0"/>
        <w:adjustRightInd w:val="0"/>
        <w:jc w:val="both"/>
        <w:rPr>
          <w:rFonts w:eastAsia="Calibri"/>
        </w:rPr>
      </w:pPr>
      <w:r w:rsidRPr="008A4A81">
        <w:rPr>
          <w:rFonts w:eastAsia="Calibri"/>
          <w:lang w:val="bg-BG"/>
        </w:rPr>
        <w:t>Системата ще бъде тествана и пилотно внедрена в 50 администрации. Пилотното внедряване ще се състои от обучения, изготвяне на наръчник за внедряване, конфигуриране на потребителски профили и при нужда - коригиране на вътрешната нормативна уредба в съответствие със Закон за електронното управление /ЗЕУ/.</w:t>
      </w:r>
    </w:p>
    <w:p w:rsidR="00E04688" w:rsidRPr="008A4A81" w:rsidRDefault="00E04688" w:rsidP="00E04688">
      <w:pPr>
        <w:autoSpaceDE w:val="0"/>
        <w:autoSpaceDN w:val="0"/>
        <w:adjustRightInd w:val="0"/>
        <w:jc w:val="both"/>
        <w:rPr>
          <w:rFonts w:eastAsia="Calibri"/>
        </w:rPr>
      </w:pPr>
      <w:r w:rsidRPr="008A4A81">
        <w:rPr>
          <w:rFonts w:eastAsia="Calibri"/>
          <w:lang w:val="bg-BG"/>
        </w:rPr>
        <w:t>Разработената система следва да бъде в пълно съответствие с Приложение № 13 към Насоките за кандидатстване по Процедура BG05SFOP001-1.001 по ОПДУ.</w:t>
      </w:r>
    </w:p>
    <w:p w:rsidR="00E04688" w:rsidRPr="008A4A81" w:rsidRDefault="00E04688" w:rsidP="00E04688">
      <w:pPr>
        <w:autoSpaceDE w:val="0"/>
        <w:autoSpaceDN w:val="0"/>
        <w:adjustRightInd w:val="0"/>
        <w:jc w:val="both"/>
        <w:rPr>
          <w:rFonts w:eastAsia="Calibri"/>
        </w:rPr>
      </w:pPr>
    </w:p>
    <w:p w:rsidR="00E04688" w:rsidRPr="008A4A81" w:rsidRDefault="00E04688" w:rsidP="00E04688">
      <w:pPr>
        <w:autoSpaceDE w:val="0"/>
        <w:autoSpaceDN w:val="0"/>
        <w:adjustRightInd w:val="0"/>
        <w:ind w:firstLine="708"/>
        <w:jc w:val="both"/>
        <w:rPr>
          <w:rFonts w:eastAsia="Calibri"/>
          <w:lang w:val="bg-BG"/>
        </w:rPr>
      </w:pPr>
      <w:r w:rsidRPr="008A4A81">
        <w:rPr>
          <w:rFonts w:eastAsia="Calibri"/>
          <w:lang w:val="bg-BG"/>
        </w:rPr>
        <w:t>Техническото задание следва за предвижда извършване на анализ на потребностите, софтуерната архитектура и потребителските интерфейси за избор на система за предоставяне на интерфейс за служебен достъп към регистри; надграждане на   системата за предоставяне интерфейс за служебен достъп към регистри, с включен базов пакет електронни процеси и вътрешно­административни удостоверителни услуги, за безплатно използване от администрации, разработено виртуално приложение за държавния Хибриден частен облак готово за внедряване, с включен базов пакет електронни процеси и вътрешно-административни удостоверителни услуги, внедряване на системата в 50 /петдесет/ администрации. Избраният изпълнител на дейността следва да   изготви наръчник/инструкция за внедряване на системата и да извърши обучение на 50 служители за работа с нея. Разработената система трябва да създава възможност за унифицирано предоставяне на най­често използваните вътрешно ­ административни услуги от повече от 60 /шестдесет/ основни регистъра, технологичната връзка с които е осъществена с проект по ОПАК.</w:t>
      </w:r>
    </w:p>
    <w:p w:rsidR="00E04688" w:rsidRPr="008A4A81" w:rsidRDefault="00E04688" w:rsidP="00E04688">
      <w:pPr>
        <w:autoSpaceDE w:val="0"/>
        <w:autoSpaceDN w:val="0"/>
        <w:adjustRightInd w:val="0"/>
        <w:ind w:firstLine="708"/>
        <w:jc w:val="both"/>
        <w:rPr>
          <w:rFonts w:eastAsia="Calibri"/>
          <w:lang w:val="bg-BG"/>
        </w:rPr>
      </w:pPr>
    </w:p>
    <w:p w:rsidR="00E04688" w:rsidRPr="008A4A81" w:rsidRDefault="00E04688" w:rsidP="00E04688">
      <w:pPr>
        <w:autoSpaceDE w:val="0"/>
        <w:autoSpaceDN w:val="0"/>
        <w:adjustRightInd w:val="0"/>
        <w:ind w:firstLine="708"/>
        <w:jc w:val="both"/>
        <w:rPr>
          <w:rFonts w:eastAsia="Calibri"/>
          <w:lang w:val="bg-BG"/>
        </w:rPr>
      </w:pPr>
      <w:r w:rsidRPr="008A4A81">
        <w:rPr>
          <w:rFonts w:eastAsia="Calibri"/>
          <w:lang w:val="bg-BG"/>
        </w:rPr>
        <w:t>Критерият за оценка на офертите по настоящата процедура следва да е „икономически най-изгодна оферта“. Във връзка с това, изпълнителят следва да разработи и методика за оценка на офертите, съобразно изискванията на чл. 28а от ЗОП.</w:t>
      </w:r>
    </w:p>
    <w:p w:rsidR="00E04688" w:rsidRPr="008A4A81" w:rsidRDefault="00E04688" w:rsidP="00E04688">
      <w:pPr>
        <w:autoSpaceDE w:val="0"/>
        <w:autoSpaceDN w:val="0"/>
        <w:adjustRightInd w:val="0"/>
        <w:ind w:firstLine="708"/>
        <w:jc w:val="both"/>
        <w:rPr>
          <w:rFonts w:eastAsia="Calibri"/>
          <w:lang w:val="bg-BG"/>
        </w:rPr>
      </w:pPr>
    </w:p>
    <w:p w:rsidR="00E04688" w:rsidRPr="008A4A81" w:rsidRDefault="00E04688" w:rsidP="00E04688">
      <w:pPr>
        <w:autoSpaceDE w:val="0"/>
        <w:autoSpaceDN w:val="0"/>
        <w:adjustRightInd w:val="0"/>
        <w:jc w:val="both"/>
        <w:rPr>
          <w:rFonts w:eastAsia="Calibri"/>
          <w:i/>
          <w:lang w:val="bg-BG"/>
        </w:rPr>
      </w:pPr>
      <w:r w:rsidRPr="008A4A81">
        <w:rPr>
          <w:rFonts w:eastAsia="Calibri"/>
          <w:u w:val="single"/>
          <w:lang w:val="bg-BG"/>
        </w:rPr>
        <w:t>Процедура 2:</w:t>
      </w:r>
      <w:r w:rsidRPr="008A4A81">
        <w:rPr>
          <w:rFonts w:eastAsia="Calibri"/>
          <w:lang w:val="bg-BG"/>
        </w:rPr>
        <w:t xml:space="preserve"> </w:t>
      </w:r>
      <w:r w:rsidRPr="008A4A81">
        <w:rPr>
          <w:rFonts w:eastAsia="Calibri"/>
          <w:i/>
          <w:lang w:val="bg-BG"/>
        </w:rPr>
        <w:t xml:space="preserve">„Надграждане на Интегрираната информационна система на държавната администрация </w:t>
      </w:r>
      <w:r w:rsidRPr="008A4A81">
        <w:rPr>
          <w:rFonts w:eastAsia="Calibri"/>
          <w:i/>
        </w:rPr>
        <w:t>(</w:t>
      </w:r>
      <w:r w:rsidRPr="008A4A81">
        <w:rPr>
          <w:rFonts w:eastAsia="Calibri"/>
          <w:i/>
          <w:lang w:val="bg-BG"/>
        </w:rPr>
        <w:t>ИИСДА</w:t>
      </w:r>
      <w:r w:rsidRPr="008A4A81">
        <w:rPr>
          <w:rFonts w:eastAsia="Calibri"/>
          <w:i/>
        </w:rPr>
        <w:t>)</w:t>
      </w:r>
      <w:r w:rsidRPr="008A4A81">
        <w:rPr>
          <w:rFonts w:eastAsia="Calibri"/>
          <w:i/>
          <w:lang w:val="bg-BG"/>
        </w:rPr>
        <w:t>“ .</w:t>
      </w:r>
    </w:p>
    <w:p w:rsidR="00E04688" w:rsidRPr="008A4A81" w:rsidRDefault="00E04688" w:rsidP="00E04688">
      <w:pPr>
        <w:autoSpaceDE w:val="0"/>
        <w:autoSpaceDN w:val="0"/>
        <w:adjustRightInd w:val="0"/>
        <w:jc w:val="both"/>
        <w:rPr>
          <w:rFonts w:eastAsia="Calibri"/>
          <w:i/>
          <w:lang w:val="bg-BG"/>
        </w:rPr>
      </w:pPr>
      <w:r w:rsidRPr="008A4A81">
        <w:rPr>
          <w:rFonts w:eastAsia="Calibri"/>
          <w:i/>
          <w:lang w:val="bg-BG"/>
        </w:rPr>
        <w:t xml:space="preserve">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Индикативна дата на обявяване: 15.04.2016 г.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Максимална прогнозна стойност: 262 500,00 /двеста шестдесет и две хиляди и петстотин лева/ лв.,без включен ДДС</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Обществената поръчка, чието техническо задание и методика за оценка на офертите следва да се разработят от изпълнителя по настоящата обществена поръчка , е част от  изпълнението на </w:t>
      </w:r>
      <w:r w:rsidRPr="008A4A81">
        <w:rPr>
          <w:rFonts w:eastAsia="Calibri"/>
          <w:i/>
          <w:lang w:val="bg-BG"/>
        </w:rPr>
        <w:t>Дейност 2</w:t>
      </w:r>
      <w:r w:rsidRPr="008A4A81">
        <w:rPr>
          <w:rFonts w:eastAsia="Calibri"/>
          <w:lang w:val="bg-BG"/>
        </w:rPr>
        <w:t xml:space="preserve"> на проекта на Възложителя, която дейност цели надграждане на ИИСДА в следните направления: </w:t>
      </w:r>
    </w:p>
    <w:p w:rsidR="00E04688" w:rsidRPr="008A4A81" w:rsidRDefault="00E04688" w:rsidP="00E04688">
      <w:pPr>
        <w:autoSpaceDE w:val="0"/>
        <w:autoSpaceDN w:val="0"/>
        <w:adjustRightInd w:val="0"/>
        <w:jc w:val="both"/>
        <w:rPr>
          <w:rFonts w:eastAsia="Calibri"/>
        </w:rPr>
      </w:pPr>
    </w:p>
    <w:p w:rsidR="00E04688" w:rsidRPr="008A4A81" w:rsidRDefault="00E04688" w:rsidP="00E04688">
      <w:pPr>
        <w:autoSpaceDE w:val="0"/>
        <w:autoSpaceDN w:val="0"/>
        <w:adjustRightInd w:val="0"/>
        <w:jc w:val="both"/>
        <w:rPr>
          <w:rFonts w:eastAsia="Calibri"/>
        </w:rPr>
      </w:pPr>
      <w:r w:rsidRPr="008A4A81">
        <w:rPr>
          <w:rFonts w:eastAsia="Calibri"/>
          <w:lang w:val="bg-BG"/>
        </w:rPr>
        <w:t>1. Надграждане на ИИСДА за създаване на функционалност за динамичен каталог на административните услуги, режимите, регистрите и тяхната връзка с услугите, съдържащ структурирани машинно</w:t>
      </w:r>
      <w:r w:rsidRPr="008A4A81">
        <w:rPr>
          <w:rFonts w:eastAsia="Calibri"/>
          <w:lang w:val="bg-BG"/>
        </w:rPr>
        <w:softHyphen/>
        <w:t xml:space="preserve"> четими дефиниции на процесите, документите, допустимите заявители и получатели на услугите, изискванията към средствата за идентификация и подаване на заявления, обхващане на доставчиците на обществени услуги, поддържане на по-високо ниво на абстракция за групиране на множество услуги във вериги от комплексни услуги на принципа „Епизоди от живота“ и „Събития от бизнеса“. Софтуерът няма да съдържа ограничения за определен брой групирани услуги нито времеви обхват, в който следва да бъдат групирани. В рамките на проекта ще бъдат групирани услуги, приоритизирани от Съвета по административната реформа. </w:t>
      </w:r>
    </w:p>
    <w:p w:rsidR="00E04688" w:rsidRPr="008A4A81" w:rsidRDefault="00E04688" w:rsidP="00E04688">
      <w:pPr>
        <w:autoSpaceDE w:val="0"/>
        <w:autoSpaceDN w:val="0"/>
        <w:adjustRightInd w:val="0"/>
        <w:jc w:val="both"/>
        <w:rPr>
          <w:rFonts w:eastAsia="Calibri"/>
        </w:rPr>
      </w:pPr>
      <w:r w:rsidRPr="008A4A81">
        <w:rPr>
          <w:rFonts w:eastAsia="Calibri"/>
          <w:lang w:val="bg-BG"/>
        </w:rPr>
        <w:t xml:space="preserve">2. Разширяване на обхвата на системата с допълнителни обекти и реквизити – в т.ч. включване на записи за всички физически локации, в които оперират административните структури и тези на доставчици на обществени услуги, които участват в административното обслужване; регистри (информационни масиви), които се водят за целите на и/или във връзка с предоставянето на АУ и режими; други информационни масиви и информационни системи, които се поддържат от администрациите. Към момента ИИСДА има функционалност за въвеждане на образци на документи, които се попълват за предоставянето на АУ. ИИСДА ще бъде съответстващо надградена, което ще оптимизира процесите за ДА. </w:t>
      </w:r>
    </w:p>
    <w:p w:rsidR="00E04688" w:rsidRPr="008A4A81" w:rsidRDefault="00E04688" w:rsidP="00E04688">
      <w:pPr>
        <w:autoSpaceDE w:val="0"/>
        <w:autoSpaceDN w:val="0"/>
        <w:adjustRightInd w:val="0"/>
        <w:jc w:val="both"/>
        <w:rPr>
          <w:rFonts w:eastAsia="Calibri"/>
        </w:rPr>
      </w:pPr>
      <w:r w:rsidRPr="008A4A81">
        <w:rPr>
          <w:rFonts w:eastAsia="Calibri"/>
          <w:lang w:val="bg-BG"/>
        </w:rPr>
        <w:t>3. Структуриране на описанията на нормативните основания за предоставяне на услуги и регламентирани решения и осъществяване на стандартизиран онлайн интерфейс за интеграция с правно</w:t>
      </w:r>
      <w:r w:rsidRPr="008A4A81">
        <w:rPr>
          <w:rFonts w:eastAsia="Calibri"/>
          <w:lang w:val="bg-BG"/>
        </w:rPr>
        <w:softHyphen/>
        <w:t>информационни системи за автоматично следене на въздействието при промяна в нормативната уредба</w:t>
      </w:r>
      <w:r w:rsidRPr="008A4A81">
        <w:rPr>
          <w:rFonts w:eastAsia="Calibri"/>
        </w:rPr>
        <w:t>.</w:t>
      </w:r>
      <w:r w:rsidRPr="008A4A81">
        <w:rPr>
          <w:rFonts w:eastAsia="Calibri"/>
          <w:lang w:val="bg-BG"/>
        </w:rPr>
        <w:t xml:space="preserve"> </w:t>
      </w:r>
    </w:p>
    <w:p w:rsidR="00E04688" w:rsidRPr="008A4A81" w:rsidRDefault="00E04688" w:rsidP="00E04688">
      <w:pPr>
        <w:autoSpaceDE w:val="0"/>
        <w:autoSpaceDN w:val="0"/>
        <w:adjustRightInd w:val="0"/>
        <w:jc w:val="both"/>
        <w:rPr>
          <w:rFonts w:eastAsia="Calibri"/>
        </w:rPr>
      </w:pPr>
      <w:r w:rsidRPr="008A4A81">
        <w:rPr>
          <w:rFonts w:eastAsia="Calibri"/>
          <w:lang w:val="bg-BG"/>
        </w:rPr>
        <w:t>4. Надграждане на системната архитектура за постигане на необходимата мащабируемост за обслужване в реално време на машинни заявки от Центрове за електронна идентификация по смисъла на проекта на закон за електронната идентификация, машинни заявки за тарифна информация за услуги, машинни заявки за оторизация за достъп до вътрешно</w:t>
      </w:r>
      <w:r w:rsidRPr="008A4A81">
        <w:rPr>
          <w:rFonts w:eastAsia="Calibri"/>
          <w:lang w:val="bg-BG"/>
        </w:rPr>
        <w:softHyphen/>
        <w:t xml:space="preserve">административни услуги и др.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5. Реализиране на онлайн интеграция с регистри (Адресен, гражданска регистрация, търговска регистрация, имотен, кадастрален, БУЛСТАТ, регистър на МПС). </w:t>
      </w:r>
    </w:p>
    <w:p w:rsidR="00E04688" w:rsidRPr="008A4A81" w:rsidRDefault="00E04688" w:rsidP="00E04688">
      <w:pPr>
        <w:autoSpaceDE w:val="0"/>
        <w:autoSpaceDN w:val="0"/>
        <w:adjustRightInd w:val="0"/>
        <w:jc w:val="both"/>
        <w:rPr>
          <w:rFonts w:eastAsia="Calibri"/>
        </w:rPr>
      </w:pPr>
      <w:r w:rsidRPr="008A4A81">
        <w:rPr>
          <w:rFonts w:eastAsia="Calibri"/>
          <w:lang w:val="bg-BG"/>
        </w:rPr>
        <w:t xml:space="preserve">6. Двупосочна онлайн интеграция с централизирания регистър на бюджетните разпоредители на СЕБРА администриран от МФ. </w:t>
      </w:r>
    </w:p>
    <w:p w:rsidR="00E04688" w:rsidRPr="008A4A81" w:rsidRDefault="00E04688" w:rsidP="00E04688">
      <w:pPr>
        <w:autoSpaceDE w:val="0"/>
        <w:autoSpaceDN w:val="0"/>
        <w:adjustRightInd w:val="0"/>
        <w:jc w:val="both"/>
        <w:rPr>
          <w:rFonts w:eastAsia="Calibri"/>
        </w:rPr>
      </w:pPr>
      <w:r w:rsidRPr="008A4A81">
        <w:rPr>
          <w:rFonts w:eastAsia="Calibri"/>
          <w:lang w:val="bg-BG"/>
        </w:rPr>
        <w:t xml:space="preserve">7. Реализиране на онлайн интерфейс за отворени данни предоставящ и свързани набори от данни в подходящи формати (процеси, връзки между услуги, връзки между нормативни основания и др.). </w:t>
      </w:r>
    </w:p>
    <w:p w:rsidR="00E04688" w:rsidRPr="008A4A81" w:rsidRDefault="00E04688" w:rsidP="00E04688">
      <w:pPr>
        <w:autoSpaceDE w:val="0"/>
        <w:autoSpaceDN w:val="0"/>
        <w:adjustRightInd w:val="0"/>
        <w:jc w:val="both"/>
        <w:rPr>
          <w:rFonts w:eastAsia="Calibri"/>
        </w:rPr>
      </w:pPr>
      <w:r w:rsidRPr="008A4A81">
        <w:rPr>
          <w:rFonts w:eastAsia="Calibri"/>
          <w:lang w:val="bg-BG"/>
        </w:rPr>
        <w:t>8. Осигуряване на възможност за пълна интеграция с националната схема за е-идентификация.</w:t>
      </w:r>
    </w:p>
    <w:p w:rsidR="00E04688" w:rsidRPr="008A4A81" w:rsidRDefault="00E04688" w:rsidP="00E04688">
      <w:pPr>
        <w:autoSpaceDE w:val="0"/>
        <w:autoSpaceDN w:val="0"/>
        <w:adjustRightInd w:val="0"/>
        <w:jc w:val="both"/>
        <w:rPr>
          <w:rFonts w:eastAsia="Calibri"/>
        </w:rPr>
      </w:pPr>
      <w:r w:rsidRPr="008A4A81">
        <w:rPr>
          <w:rFonts w:eastAsia="Calibri"/>
          <w:lang w:val="bg-BG"/>
        </w:rPr>
        <w:t>9. Изграждане на PKI (инфраструктура на публичния ключ) за издаване на сигурни електронни сертификати за регистрираните услуги, за нуждите на процеса по валидация при е</w:t>
      </w:r>
      <w:r w:rsidRPr="008A4A81">
        <w:rPr>
          <w:rFonts w:eastAsia="Calibri"/>
          <w:lang w:val="bg-BG"/>
        </w:rPr>
        <w:softHyphen/>
        <w:t xml:space="preserve">Идентификация.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10. Предоставяне на удобна за потребителите визуализация на вписаните услуги и режими. При необходимост ще има допълнителни дейности по надграждане и оптимизация на системата.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Заложената логика на действие предвижда надградената ИИСДА да спомогне за поддържането в структуриран вид, систематизирането и обвързването на необходимата за постигането на целите на проекта информация за предоставяните АУ, прилаганите регулаторни режими и използваните регистри. Тази дейност ще бъде извършена в координация с паралелно изпълняващият се проект за инвентаризация на Изпълнителна агенция „Електронни съобщителни мрежи и информационни системи“ /ИА ЕСМИС/. Ще бъде надграден Наръчникът за ИИСДА за новите функционалности. Ще бъдат разработени обучителни модули и ще бъдат проведени обучения за 560 потребители за надградената ИИСДА.</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При разработване на системата ще бъдат предвидени технологични и архитектурни изисквания за осигуряване на работоспособност и отказоустойчивост на системата, както и недискриминационно инсталиране и опериране в продуктивен режим, върху виртуална инфраструктура, съответно върху държавния Хибриден Частен Облак /ХЧО/. Ще бъде предвидено използването на държавния ХЧО като среда за функциониране на информационната система, както и възможност за достъп и използването на мрежата на държавната администрация като комуникационна среда. Дейността ще бъде изпълнена в съответствие с Предварителните условия за допустимост на проекти за е-управление.</w:t>
      </w:r>
    </w:p>
    <w:p w:rsidR="00E04688" w:rsidRPr="008A4A81" w:rsidRDefault="00E04688" w:rsidP="00E04688">
      <w:pPr>
        <w:autoSpaceDE w:val="0"/>
        <w:autoSpaceDN w:val="0"/>
        <w:adjustRightInd w:val="0"/>
        <w:jc w:val="both"/>
        <w:rPr>
          <w:rFonts w:eastAsia="Calibri"/>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Критерият за оценка на офертите по настоящата процедура следва да е „икономически най-изгодна оферта“. Във връзка с това, изпълнителят следва да разработи и методика за оценка, съобразно изискванията на чл. 28а от ЗОП.</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rPr>
      </w:pPr>
      <w:r w:rsidRPr="008A4A81">
        <w:rPr>
          <w:rFonts w:eastAsia="Calibri"/>
          <w:u w:val="single"/>
          <w:lang w:val="bg-BG"/>
        </w:rPr>
        <w:t>Процедура 3:</w:t>
      </w:r>
      <w:r w:rsidRPr="008A4A81">
        <w:rPr>
          <w:lang w:val="bg-BG" w:eastAsia="bg-BG"/>
        </w:rPr>
        <w:t xml:space="preserve"> </w:t>
      </w:r>
      <w:r w:rsidRPr="008A4A81">
        <w:rPr>
          <w:i/>
          <w:lang w:val="bg-BG" w:eastAsia="bg-BG"/>
        </w:rPr>
        <w:t>„</w:t>
      </w:r>
      <w:r w:rsidRPr="008A4A81">
        <w:rPr>
          <w:rFonts w:eastAsia="Calibri"/>
          <w:i/>
          <w:lang w:val="bg-BG"/>
        </w:rPr>
        <w:t xml:space="preserve">Инвентаризация и анализ на режимите, административните услуги и информационните масиви/регистри в държавната администрация; анализ на регистрите в ДА, разработване на концепция и пътна карта.“ </w:t>
      </w:r>
    </w:p>
    <w:p w:rsidR="00E04688" w:rsidRPr="008A4A81" w:rsidRDefault="00E04688" w:rsidP="00E04688">
      <w:pPr>
        <w:autoSpaceDE w:val="0"/>
        <w:autoSpaceDN w:val="0"/>
        <w:adjustRightInd w:val="0"/>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Индикативна дата на обявяване: 15.04.2016 г.</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Максимална прогнозна стойност: 1 750 000,00 /един милион седемстотин и петдесет хиляди лева/ лв., без включен ДДС</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Обществената поръчка, чието техническо задание и методика за оценка следва да се разработят от изпълнителя по  настоящата настоящата обществена поръчка е част от  изпълнението на </w:t>
      </w:r>
      <w:r w:rsidRPr="008A4A81">
        <w:rPr>
          <w:rFonts w:eastAsia="Calibri"/>
          <w:i/>
          <w:lang w:val="bg-BG"/>
        </w:rPr>
        <w:t>Дейности 3 и 4</w:t>
      </w:r>
      <w:r w:rsidRPr="008A4A81">
        <w:rPr>
          <w:rFonts w:eastAsia="Calibri"/>
          <w:lang w:val="bg-BG"/>
        </w:rPr>
        <w:t xml:space="preserve"> на проекта на Възложителя, които дейности целят идентифициране /инвентаризация/ на съществуващите информационни масиви и регистри в администрацията, участващи в работните процеси на предоставяните административни услуги; изготвяне на пълен преглед на АУ и режими за съответствие с изискванията на Административнопроцесуалния кодекс /АПК/ и Закона за ограничаване на административното регулиране и административния контрол върху стопанската дейност /ЗОАРАКСД/, определяне на удостоверителните АУ и преглеждане за опростяване; определяне на АУ, предоставяни от доставчиците на обществени услуги (ДОУ) и осигуряване прилагането на правилата за организация на административното обслужване от ДОУ; идентифициранe и въвеждане на всички режими, административни и обществени услуги, липсващи в ИИСДА, както и вписване на информация за всички регистри. От обхвата на дейността са изключени регистрите от сектор "правосъдие", вкл. тези, поддържани при Министерство на правосъдието /МП/ и второстепенните разпоредители с бюджетни кредити, които са обект на одит по проект на МП, както и информационните масиви, регистри, АУ и режими, които ползват класифицирана информация.</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Основният метод за работа на избрания изпълнител по тази открита процедура ще бъде свързан с провеждане проучване на публично обявената информация и провеждане на проверки на място във всички администрации и доставчиците на услуги. Ще бъде включен на нов раздел за доставчиците на обществени услуги. Изпълнителят ще извърши анализ на нормативната уредба и изготви конкретни предложения за изменения и допълнения за преодоляване на констатирани несъответствия и ограничения, придружени от оценка на въздействието. На базата на цитираната по-­горе информация и идентифицираните нужди и проблеми изпълнителят ще следва да разработи методология за анализ/инвентаризация и съответните чеклистове, в които да се извърши инвентаризацията и проверките на място. Данните от провежданата инвентаризация ще бъдат попълвани текущо от избрания изпълнител за реализация на настоящата дейност в надградената в специално разработена в рамките на проекта онлайн среда към ИИСДА. </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На база на събраната по-горе структурирана и пълна информация за информационните масиви и системи, които участват пряко или непряко в административното обслужване изпълнителят ще извърши анализ на използваните регистри. Особен акцент ще бъде поставен върху описание на форматите, логиката и обхвата на поддържаната информация, която се съхранява в тях, от гледна точка на бъдещата цифровизация на регистрите. Ще бъдат идентифицирани изискванията, включително и нормативните, по отношение на данните в регистрите. Ще бъдат обобщени всички случаи, в които е необходимо предоставяне на регистрова информация.</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Ще бъдат анализирани и установени добри/лоши практики при реализиране на проекти за електронизиране и обединяване на регистри в сферата на електронното управление на Приоритетна ос 3 на ОПАК. Ще бъдат анализирани данните в Информационна система за попълване на отчетните доклади за състоянието на администрацията /ИСПОДСА/,респ. ИИСДА за последните 5 години за идентифициране на проекти/ мерки финансирани от други източници. Ще бъде установено реалното състояние на поддържаните регистри, както и възможностите за консолидиране, преструктуриране, централизиране, електронизиране и отваряне на регистрите в държавната администрация.  Външният изпълнител, на база на анализа ще направи предложения за нормативни изменения, вкл. проекти на нормативни актове за отстраняване на идентифицираните несъответствия и оценка на въздействието им.</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Вследствие на анализа ще бъде изготвена концепция за реформа на съществуващия модел на организация и поддържане на регистрите в ДА. Концепцията ще съдържа и стандартизирани процеси, структура и методи за реализацията на регистри, с адекватни мерки за информационна сигурност и защита на личните данни. Изпълнителят на дейността трябва да разработи и пътна карта, която съдържа конкретни стъпки, срокове и отговорни институции за реализиране на концепцията. </w:t>
      </w:r>
    </w:p>
    <w:p w:rsidR="00E04688" w:rsidRPr="008A4A81" w:rsidRDefault="00E04688" w:rsidP="00E04688">
      <w:pPr>
        <w:autoSpaceDE w:val="0"/>
        <w:autoSpaceDN w:val="0"/>
        <w:adjustRightInd w:val="0"/>
        <w:ind w:firstLine="708"/>
        <w:jc w:val="both"/>
        <w:rPr>
          <w:rFonts w:eastAsia="Calibri"/>
          <w:lang w:val="bg-BG"/>
        </w:rPr>
      </w:pPr>
    </w:p>
    <w:p w:rsidR="00E04688" w:rsidRPr="008A4A81" w:rsidRDefault="00E04688" w:rsidP="00E04688">
      <w:pPr>
        <w:autoSpaceDE w:val="0"/>
        <w:autoSpaceDN w:val="0"/>
        <w:adjustRightInd w:val="0"/>
        <w:ind w:firstLine="708"/>
        <w:jc w:val="both"/>
        <w:rPr>
          <w:rFonts w:eastAsia="Calibri"/>
          <w:lang w:val="bg-BG"/>
        </w:rPr>
      </w:pPr>
      <w:r w:rsidRPr="008A4A81">
        <w:rPr>
          <w:rFonts w:eastAsia="Calibri"/>
          <w:lang w:val="bg-BG"/>
        </w:rPr>
        <w:t>Критерият за оценка на офертите по настоящата процедура следва да е „икономически най-изгодна оферта“. Във връзка с това, изпълнителят следва да разработи и методика за оценка, съобразно изискванията на чл. 28а от ЗОП.</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lang w:val="bg-BG" w:eastAsia="bg-BG"/>
        </w:rPr>
      </w:pPr>
      <w:r w:rsidRPr="008A4A81">
        <w:rPr>
          <w:u w:val="single"/>
          <w:lang w:val="bg-BG" w:eastAsia="bg-BG"/>
        </w:rPr>
        <w:t>Процедура 4:</w:t>
      </w:r>
      <w:r w:rsidRPr="008A4A81">
        <w:rPr>
          <w:lang w:val="bg-BG" w:eastAsia="bg-BG"/>
        </w:rPr>
        <w:t xml:space="preserve"> „</w:t>
      </w:r>
      <w:r w:rsidRPr="008A4A81">
        <w:rPr>
          <w:i/>
          <w:lang w:val="bg-BG" w:eastAsia="bg-BG"/>
        </w:rPr>
        <w:t>Внедряване на услуги на принципа на</w:t>
      </w:r>
      <w:r w:rsidRPr="008A4A81">
        <w:rPr>
          <w:lang w:val="bg-BG" w:eastAsia="bg-BG"/>
        </w:rPr>
        <w:t xml:space="preserve"> </w:t>
      </w:r>
      <w:r w:rsidRPr="008A4A81">
        <w:rPr>
          <w:rFonts w:eastAsia="Calibri"/>
          <w:i/>
          <w:lang w:val="bg-BG"/>
        </w:rPr>
        <w:t xml:space="preserve"> „Епизоди от живота“ и „Бизнес събития“ </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Индикативна дата на обявяване:16.05.2016 г.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Максимална прогнозна стойност: 841 666,67 /осемстотин четиридесет и една хиляди и шестотин шестдесет и шест лева и шестдесет и седем стотинки/ лв., без включен ДДС</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Обществената поръчка, чието техническо задание и методика за оценка на офертите следва да се разработят от изпълнителя по настоящата обществена поръчка е част от  изпълнението на </w:t>
      </w:r>
      <w:r w:rsidRPr="008A4A81">
        <w:rPr>
          <w:rFonts w:eastAsia="Calibri"/>
          <w:i/>
          <w:lang w:val="bg-BG"/>
        </w:rPr>
        <w:t>Дейност 5</w:t>
      </w:r>
      <w:r w:rsidRPr="008A4A81">
        <w:rPr>
          <w:rFonts w:eastAsia="Calibri"/>
          <w:lang w:val="bg-BG"/>
        </w:rPr>
        <w:t xml:space="preserve"> на проекта на Възложителя, която дейност включва: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1. Изготвяне на анализ на състоянието и съществуващите практики в България и в страни-членки на ЕС при предоставяне на услуги на принципа „Епизоди от живота“ и „Бизнес събития“;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2. Определяне на услуги от типа „Епизоди от живота“ и „Бизнес събития“ и създаване на каталог за тях;</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3.Създаване на проект на нормативна рамка за предоставяне на услуги от типа „Епизоди от живота“ и „Бизнес събития“;</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4.Въвеждане на минимум 2 приоритетни услуги от типа „Епизоди от живота“ и „Бизнес събития“.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Изпълнителят на дейността следва да организира и проведе обучения на минимум 30 служители от администрациите, където са внедрени услугите от типа „Епизоди от живота“ и „Бизнес събития“.</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Критерият за оценка на офертите по настоящата процедура следва да е „икономически най-изгодна оферта“. Във връзка с това, изпълнителят следва да разработи и методика за оценка, съобразно изискванията на чл. 28а от ЗОП.</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i/>
          <w:lang w:val="bg-BG" w:eastAsia="bg-BG"/>
        </w:rPr>
      </w:pPr>
      <w:r w:rsidRPr="008A4A81">
        <w:rPr>
          <w:u w:val="single"/>
          <w:lang w:val="bg-BG" w:eastAsia="bg-BG"/>
        </w:rPr>
        <w:t>Процедура 5:</w:t>
      </w:r>
      <w:r w:rsidRPr="008A4A81">
        <w:rPr>
          <w:lang w:val="bg-BG" w:eastAsia="bg-BG"/>
        </w:rPr>
        <w:t xml:space="preserve"> </w:t>
      </w:r>
      <w:r w:rsidRPr="008A4A81">
        <w:rPr>
          <w:i/>
          <w:lang w:val="bg-BG" w:eastAsia="bg-BG"/>
        </w:rPr>
        <w:t>„Обезпечаване на дейности по информация, публичност и включване  на заинтересованите страни за нуждите на проект BG05SFOP001</w:t>
      </w:r>
      <w:r>
        <w:rPr>
          <w:i/>
          <w:lang w:val="bg-BG" w:eastAsia="bg-BG"/>
        </w:rPr>
        <w:t>-</w:t>
      </w:r>
      <w:r w:rsidRPr="008A4A81">
        <w:rPr>
          <w:i/>
          <w:lang w:val="bg-BG" w:eastAsia="bg-BG"/>
        </w:rPr>
        <w:t>1.001</w:t>
      </w:r>
      <w:r>
        <w:rPr>
          <w:i/>
          <w:lang w:val="bg-BG" w:eastAsia="bg-BG"/>
        </w:rPr>
        <w:t>-</w:t>
      </w:r>
      <w:r w:rsidRPr="008A4A81">
        <w:rPr>
          <w:i/>
          <w:lang w:val="bg-BG" w:eastAsia="bg-BG"/>
        </w:rPr>
        <w:t>0002 „Трансформация на модела на административно обслужване“</w:t>
      </w:r>
    </w:p>
    <w:p w:rsidR="00E04688" w:rsidRPr="008A4A81" w:rsidRDefault="00E04688" w:rsidP="00E04688">
      <w:pPr>
        <w:autoSpaceDE w:val="0"/>
        <w:autoSpaceDN w:val="0"/>
        <w:adjustRightInd w:val="0"/>
        <w:jc w:val="both"/>
        <w:rPr>
          <w:i/>
          <w:lang w:val="bg-BG" w:eastAsia="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Индикативна дата на обявяване: 15.0</w:t>
      </w:r>
      <w:r>
        <w:rPr>
          <w:rFonts w:eastAsia="Calibri"/>
          <w:lang w:val="bg-BG"/>
        </w:rPr>
        <w:t>3</w:t>
      </w:r>
      <w:r w:rsidRPr="008A4A81">
        <w:rPr>
          <w:rFonts w:eastAsia="Calibri"/>
          <w:lang w:val="bg-BG"/>
        </w:rPr>
        <w:t xml:space="preserve">.2016 г. </w:t>
      </w: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Максимална прогнозна стойност: 110 000,00 /сто и десет хиляди лева/лв., без включен ДДС</w:t>
      </w:r>
    </w:p>
    <w:p w:rsidR="00E04688" w:rsidRPr="008A4A81" w:rsidRDefault="00E04688" w:rsidP="00E04688">
      <w:pPr>
        <w:autoSpaceDE w:val="0"/>
        <w:autoSpaceDN w:val="0"/>
        <w:adjustRightInd w:val="0"/>
        <w:jc w:val="both"/>
        <w:rPr>
          <w:i/>
          <w:lang w:val="bg-BG" w:eastAsia="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 xml:space="preserve">Обществената поръчка, чието техническо задание следва да се разработи от изпълнителя по настоящата обществена поръчка е част от  изпълнението на </w:t>
      </w:r>
      <w:r w:rsidRPr="008A4A81">
        <w:rPr>
          <w:rFonts w:eastAsia="Calibri"/>
          <w:i/>
          <w:lang w:val="bg-BG"/>
        </w:rPr>
        <w:t>Дейност 7</w:t>
      </w:r>
      <w:r w:rsidRPr="008A4A81">
        <w:rPr>
          <w:rFonts w:eastAsia="Calibri"/>
          <w:lang w:val="bg-BG"/>
        </w:rPr>
        <w:t xml:space="preserve"> на проекта на Възложителя, която дейност включва организирането и провеждането публични събития, както следва:</w:t>
      </w:r>
    </w:p>
    <w:p w:rsidR="00E04688" w:rsidRPr="008A4A81" w:rsidRDefault="00E04688" w:rsidP="00E04688">
      <w:pPr>
        <w:numPr>
          <w:ilvl w:val="0"/>
          <w:numId w:val="26"/>
        </w:numPr>
        <w:autoSpaceDE w:val="0"/>
        <w:autoSpaceDN w:val="0"/>
        <w:adjustRightInd w:val="0"/>
        <w:contextualSpacing/>
        <w:jc w:val="both"/>
        <w:rPr>
          <w:rFonts w:eastAsia="Calibri"/>
          <w:lang w:val="bg-BG"/>
        </w:rPr>
      </w:pPr>
      <w:r w:rsidRPr="008A4A81">
        <w:rPr>
          <w:rFonts w:eastAsia="Calibri"/>
          <w:lang w:val="bg-BG"/>
        </w:rPr>
        <w:t>2 конференции за минимум 120 души всяка;</w:t>
      </w:r>
    </w:p>
    <w:p w:rsidR="00E04688" w:rsidRPr="008A4A81" w:rsidRDefault="00E04688" w:rsidP="00E04688">
      <w:pPr>
        <w:numPr>
          <w:ilvl w:val="0"/>
          <w:numId w:val="26"/>
        </w:numPr>
        <w:autoSpaceDE w:val="0"/>
        <w:autoSpaceDN w:val="0"/>
        <w:adjustRightInd w:val="0"/>
        <w:contextualSpacing/>
        <w:jc w:val="both"/>
        <w:rPr>
          <w:rFonts w:eastAsia="Calibri"/>
          <w:lang w:val="bg-BG"/>
        </w:rPr>
      </w:pPr>
      <w:r w:rsidRPr="008A4A81">
        <w:rPr>
          <w:rFonts w:eastAsia="Calibri"/>
          <w:lang w:val="bg-BG"/>
        </w:rPr>
        <w:t>3 информационни събития/кръгли маси за общо минимум 60 души;</w:t>
      </w:r>
    </w:p>
    <w:p w:rsidR="00E04688" w:rsidRPr="008A4A81" w:rsidRDefault="00E04688" w:rsidP="00E04688">
      <w:pPr>
        <w:numPr>
          <w:ilvl w:val="0"/>
          <w:numId w:val="26"/>
        </w:numPr>
        <w:autoSpaceDE w:val="0"/>
        <w:autoSpaceDN w:val="0"/>
        <w:adjustRightInd w:val="0"/>
        <w:contextualSpacing/>
        <w:jc w:val="both"/>
        <w:rPr>
          <w:rFonts w:eastAsia="Calibri"/>
          <w:lang w:val="bg-BG"/>
        </w:rPr>
      </w:pPr>
      <w:r w:rsidRPr="008A4A81">
        <w:rPr>
          <w:rFonts w:eastAsia="Calibri"/>
          <w:lang w:val="bg-BG"/>
        </w:rPr>
        <w:t>изготвяне на аудио-видео клип</w:t>
      </w:r>
      <w:r w:rsidRPr="008A4A81">
        <w:rPr>
          <w:rFonts w:eastAsia="Calibri"/>
        </w:rPr>
        <w:t>;</w:t>
      </w:r>
    </w:p>
    <w:p w:rsidR="00E04688" w:rsidRPr="008A4A81" w:rsidRDefault="00E04688" w:rsidP="00E04688">
      <w:pPr>
        <w:numPr>
          <w:ilvl w:val="0"/>
          <w:numId w:val="26"/>
        </w:numPr>
        <w:autoSpaceDE w:val="0"/>
        <w:autoSpaceDN w:val="0"/>
        <w:adjustRightInd w:val="0"/>
        <w:contextualSpacing/>
        <w:jc w:val="both"/>
        <w:rPr>
          <w:rFonts w:eastAsia="Calibri"/>
          <w:lang w:val="bg-BG"/>
        </w:rPr>
      </w:pPr>
      <w:r w:rsidRPr="008A4A81">
        <w:rPr>
          <w:rFonts w:eastAsia="Calibri"/>
          <w:lang w:val="bg-BG"/>
        </w:rPr>
        <w:t>2 пресконференции (встъпителна и заключителна за проекта).</w:t>
      </w:r>
    </w:p>
    <w:p w:rsidR="00E04688" w:rsidRPr="008A4A81" w:rsidRDefault="00E04688" w:rsidP="00E04688">
      <w:pPr>
        <w:numPr>
          <w:ilvl w:val="0"/>
          <w:numId w:val="26"/>
        </w:numPr>
        <w:autoSpaceDE w:val="0"/>
        <w:autoSpaceDN w:val="0"/>
        <w:adjustRightInd w:val="0"/>
        <w:contextualSpacing/>
        <w:jc w:val="both"/>
        <w:rPr>
          <w:rFonts w:eastAsia="Calibri"/>
          <w:lang w:val="bg-BG"/>
        </w:rPr>
      </w:pPr>
      <w:r w:rsidRPr="008A4A81">
        <w:rPr>
          <w:rFonts w:eastAsia="Calibri"/>
          <w:lang w:val="bg-BG"/>
        </w:rPr>
        <w:t>публикации на статии в интернет/електронни и/или печатни издания</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rFonts w:eastAsia="Calibri"/>
          <w:lang w:val="bg-BG"/>
        </w:rPr>
      </w:pPr>
      <w:r w:rsidRPr="008A4A81">
        <w:rPr>
          <w:rFonts w:eastAsia="Calibri"/>
          <w:lang w:val="bg-BG"/>
        </w:rPr>
        <w:t>Дизайн, изработка и печат на промоционални материали, както следва:</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numPr>
          <w:ilvl w:val="0"/>
          <w:numId w:val="27"/>
        </w:numPr>
        <w:autoSpaceDE w:val="0"/>
        <w:autoSpaceDN w:val="0"/>
        <w:adjustRightInd w:val="0"/>
        <w:contextualSpacing/>
        <w:jc w:val="both"/>
        <w:rPr>
          <w:rFonts w:eastAsia="Calibri"/>
          <w:lang w:val="bg-BG"/>
        </w:rPr>
      </w:pPr>
      <w:r w:rsidRPr="008A4A81">
        <w:rPr>
          <w:rFonts w:eastAsia="Calibri"/>
          <w:lang w:val="bg-BG"/>
        </w:rPr>
        <w:t>10 бр. плакати, размер А3;</w:t>
      </w:r>
    </w:p>
    <w:p w:rsidR="00E04688" w:rsidRPr="008A4A81" w:rsidRDefault="00E04688" w:rsidP="00E04688">
      <w:pPr>
        <w:numPr>
          <w:ilvl w:val="0"/>
          <w:numId w:val="27"/>
        </w:numPr>
        <w:autoSpaceDE w:val="0"/>
        <w:autoSpaceDN w:val="0"/>
        <w:adjustRightInd w:val="0"/>
        <w:contextualSpacing/>
        <w:jc w:val="both"/>
        <w:rPr>
          <w:rFonts w:eastAsia="Calibri"/>
          <w:lang w:val="bg-BG"/>
        </w:rPr>
      </w:pPr>
      <w:r w:rsidRPr="008A4A81">
        <w:rPr>
          <w:rFonts w:eastAsia="Calibri"/>
          <w:lang w:val="bg-BG"/>
        </w:rPr>
        <w:t>2 банера;</w:t>
      </w:r>
    </w:p>
    <w:p w:rsidR="00E04688" w:rsidRPr="008A4A81" w:rsidRDefault="00E04688" w:rsidP="00E04688">
      <w:pPr>
        <w:numPr>
          <w:ilvl w:val="0"/>
          <w:numId w:val="27"/>
        </w:numPr>
        <w:autoSpaceDE w:val="0"/>
        <w:autoSpaceDN w:val="0"/>
        <w:adjustRightInd w:val="0"/>
        <w:contextualSpacing/>
        <w:jc w:val="both"/>
        <w:rPr>
          <w:rFonts w:eastAsia="Calibri"/>
          <w:lang w:val="bg-BG"/>
        </w:rPr>
      </w:pPr>
      <w:r w:rsidRPr="008A4A81">
        <w:rPr>
          <w:rFonts w:eastAsia="Calibri"/>
          <w:lang w:val="bg-BG"/>
        </w:rPr>
        <w:t>1000 бр. информационни брошури;</w:t>
      </w:r>
    </w:p>
    <w:p w:rsidR="00E04688" w:rsidRPr="008A4A81" w:rsidRDefault="00E04688" w:rsidP="00E04688">
      <w:pPr>
        <w:numPr>
          <w:ilvl w:val="0"/>
          <w:numId w:val="27"/>
        </w:numPr>
        <w:autoSpaceDE w:val="0"/>
        <w:autoSpaceDN w:val="0"/>
        <w:adjustRightInd w:val="0"/>
        <w:contextualSpacing/>
        <w:jc w:val="both"/>
        <w:rPr>
          <w:rFonts w:eastAsia="Calibri"/>
          <w:lang w:val="bg-BG"/>
        </w:rPr>
      </w:pPr>
      <w:r w:rsidRPr="008A4A81">
        <w:rPr>
          <w:rFonts w:eastAsia="Calibri"/>
          <w:lang w:val="bg-BG"/>
        </w:rPr>
        <w:t>700 броя флаш­памети;</w:t>
      </w:r>
    </w:p>
    <w:p w:rsidR="00E04688" w:rsidRPr="008A4A81" w:rsidRDefault="00E04688" w:rsidP="00E04688">
      <w:pPr>
        <w:numPr>
          <w:ilvl w:val="0"/>
          <w:numId w:val="27"/>
        </w:numPr>
        <w:autoSpaceDE w:val="0"/>
        <w:autoSpaceDN w:val="0"/>
        <w:adjustRightInd w:val="0"/>
        <w:contextualSpacing/>
        <w:jc w:val="both"/>
        <w:rPr>
          <w:rFonts w:eastAsia="Calibri"/>
          <w:lang w:val="bg-BG"/>
        </w:rPr>
      </w:pPr>
      <w:r w:rsidRPr="008A4A81">
        <w:rPr>
          <w:rFonts w:eastAsia="Calibri"/>
          <w:lang w:val="bg-BG"/>
        </w:rPr>
        <w:t>Други (брандирана бизнес чанта /тип лаптоп/ или раница:1000 бр.;  Брандирани памучни тениски: 800 бр;  брандиран тефтер /ежедневник/:  800 бр. и химикал /тип еко/: 1000 бр. )</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autoSpaceDE w:val="0"/>
        <w:autoSpaceDN w:val="0"/>
        <w:adjustRightInd w:val="0"/>
        <w:jc w:val="both"/>
        <w:rPr>
          <w:lang w:val="bg-BG" w:eastAsia="bg-BG"/>
        </w:rPr>
      </w:pPr>
      <w:r w:rsidRPr="008A4A81">
        <w:rPr>
          <w:lang w:val="bg-BG" w:eastAsia="bg-BG"/>
        </w:rPr>
        <w:t>Критерият за оценка на офертите по горната процедура трябва да е „най-ниска цена“</w:t>
      </w:r>
      <w:r w:rsidRPr="008A4A81">
        <w:rPr>
          <w:lang w:eastAsia="bg-BG"/>
        </w:rPr>
        <w:t>.</w:t>
      </w:r>
    </w:p>
    <w:p w:rsidR="00E04688" w:rsidRPr="008A4A81" w:rsidRDefault="00E04688" w:rsidP="00E04688">
      <w:pPr>
        <w:autoSpaceDE w:val="0"/>
        <w:autoSpaceDN w:val="0"/>
        <w:adjustRightInd w:val="0"/>
        <w:jc w:val="both"/>
        <w:rPr>
          <w:lang w:val="bg-BG" w:eastAsia="bg-BG"/>
        </w:rPr>
      </w:pPr>
    </w:p>
    <w:p w:rsidR="00E04688" w:rsidRPr="008A4A81" w:rsidRDefault="00E04688" w:rsidP="00E04688">
      <w:pPr>
        <w:jc w:val="both"/>
        <w:rPr>
          <w:lang w:val="bg-BG" w:eastAsia="bg-BG"/>
        </w:rPr>
      </w:pPr>
    </w:p>
    <w:p w:rsidR="00E04688" w:rsidRPr="008A4A81" w:rsidRDefault="00E04688" w:rsidP="00E04688">
      <w:pPr>
        <w:ind w:left="360"/>
        <w:jc w:val="both"/>
        <w:rPr>
          <w:lang w:eastAsia="bg-BG"/>
        </w:rPr>
      </w:pPr>
    </w:p>
    <w:p w:rsidR="00E04688" w:rsidRPr="008A4A81" w:rsidRDefault="00E04688" w:rsidP="00E04688">
      <w:pPr>
        <w:numPr>
          <w:ilvl w:val="0"/>
          <w:numId w:val="22"/>
        </w:numPr>
        <w:contextualSpacing/>
        <w:jc w:val="both"/>
        <w:rPr>
          <w:b/>
          <w:lang w:val="bg-BG" w:eastAsia="bg-BG"/>
        </w:rPr>
      </w:pPr>
      <w:r w:rsidRPr="008A4A81">
        <w:rPr>
          <w:b/>
          <w:lang w:val="bg-BG" w:eastAsia="bg-BG"/>
        </w:rPr>
        <w:t>ЕТАПИ НА ИЗПЪЛНЕНИЕ НА ПОРЪЧКАТА И СЪГЛАСУВАНЕТО Й С ВЪЗЛОЖИТЕЛЯ</w:t>
      </w:r>
    </w:p>
    <w:p w:rsidR="00E04688" w:rsidRPr="008A4A81" w:rsidRDefault="00E04688" w:rsidP="00E04688">
      <w:pPr>
        <w:keepNext/>
        <w:tabs>
          <w:tab w:val="num" w:pos="993"/>
        </w:tabs>
        <w:spacing w:before="120"/>
        <w:ind w:left="993" w:hanging="993"/>
        <w:jc w:val="both"/>
        <w:outlineLvl w:val="2"/>
        <w:rPr>
          <w:b/>
          <w:i/>
          <w:szCs w:val="20"/>
          <w:lang w:val="bg-BG"/>
        </w:rPr>
      </w:pPr>
      <w:bookmarkStart w:id="0" w:name="_Toc387757000"/>
    </w:p>
    <w:p w:rsidR="00E04688" w:rsidRPr="008A4A81" w:rsidRDefault="00E04688" w:rsidP="00E04688">
      <w:pPr>
        <w:keepNext/>
        <w:tabs>
          <w:tab w:val="num" w:pos="993"/>
        </w:tabs>
        <w:spacing w:before="120"/>
        <w:ind w:left="993" w:hanging="993"/>
        <w:jc w:val="both"/>
        <w:outlineLvl w:val="2"/>
        <w:rPr>
          <w:b/>
          <w:i/>
          <w:szCs w:val="20"/>
          <w:lang w:val="bg-BG"/>
        </w:rPr>
      </w:pPr>
      <w:r w:rsidRPr="008A4A81">
        <w:rPr>
          <w:b/>
          <w:i/>
          <w:szCs w:val="20"/>
          <w:lang w:val="bg-BG"/>
        </w:rPr>
        <w:t xml:space="preserve">Етап 1 </w:t>
      </w:r>
      <w:bookmarkEnd w:id="0"/>
    </w:p>
    <w:p w:rsidR="00E04688" w:rsidRPr="008A4A81" w:rsidRDefault="00E04688" w:rsidP="00E04688">
      <w:pPr>
        <w:spacing w:line="276" w:lineRule="auto"/>
        <w:ind w:firstLine="709"/>
        <w:jc w:val="both"/>
        <w:rPr>
          <w:lang w:eastAsia="bg-BG"/>
        </w:rPr>
      </w:pPr>
      <w:r w:rsidRPr="008A4A81">
        <w:rPr>
          <w:szCs w:val="20"/>
          <w:lang w:val="bg-BG"/>
        </w:rPr>
        <w:t xml:space="preserve">Изпълнителят следва да изготви пакета от документи (техническо задание, методика за оценка на офертите </w:t>
      </w:r>
      <w:r w:rsidRPr="008A4A81">
        <w:rPr>
          <w:lang w:val="bg-BG"/>
        </w:rPr>
        <w:t>и примерни критерии за подбор</w:t>
      </w:r>
      <w:r w:rsidRPr="008A4A81">
        <w:rPr>
          <w:szCs w:val="20"/>
          <w:lang w:val="bg-BG"/>
        </w:rPr>
        <w:t xml:space="preserve"> към участниците) за всяка една от описаните процедури. При разработване на документацията за участие, изпълнителят на настоящата поръчка трябва да се съобрази с целите и очакваните резултати по дейностите на проекта, чието външно възлагане се предвижда.</w:t>
      </w:r>
    </w:p>
    <w:p w:rsidR="00E04688" w:rsidRPr="008A4A81" w:rsidRDefault="00E04688" w:rsidP="00E04688">
      <w:pPr>
        <w:keepNext/>
        <w:tabs>
          <w:tab w:val="num" w:pos="993"/>
        </w:tabs>
        <w:spacing w:before="120"/>
        <w:ind w:left="993" w:hanging="993"/>
        <w:jc w:val="both"/>
        <w:outlineLvl w:val="2"/>
        <w:rPr>
          <w:b/>
          <w:i/>
          <w:szCs w:val="20"/>
          <w:lang w:val="bg-BG"/>
        </w:rPr>
      </w:pPr>
      <w:bookmarkStart w:id="1" w:name="_Toc387757001"/>
      <w:r w:rsidRPr="008A4A81">
        <w:rPr>
          <w:b/>
          <w:i/>
          <w:szCs w:val="20"/>
          <w:lang w:val="bg-BG"/>
        </w:rPr>
        <w:t>Етап 2</w:t>
      </w:r>
      <w:bookmarkEnd w:id="1"/>
      <w:r w:rsidRPr="008A4A81">
        <w:rPr>
          <w:b/>
          <w:i/>
          <w:szCs w:val="20"/>
          <w:lang w:val="bg-BG"/>
        </w:rPr>
        <w:t xml:space="preserve"> </w:t>
      </w:r>
    </w:p>
    <w:p w:rsidR="00E04688" w:rsidRPr="008A4A81" w:rsidRDefault="00E04688" w:rsidP="00E04688">
      <w:pPr>
        <w:spacing w:line="276" w:lineRule="auto"/>
        <w:ind w:firstLine="708"/>
        <w:jc w:val="both"/>
        <w:rPr>
          <w:szCs w:val="20"/>
          <w:lang w:val="bg-BG"/>
        </w:rPr>
      </w:pPr>
      <w:r w:rsidRPr="008A4A81">
        <w:rPr>
          <w:szCs w:val="20"/>
          <w:lang w:val="bg-BG"/>
        </w:rPr>
        <w:t>Предаване на изработените документации. Извършване на корекции по искане на Възложителя или при наличие на бележки.  Приемане на извършената работа от този етап.</w:t>
      </w:r>
    </w:p>
    <w:p w:rsidR="00E04688" w:rsidRPr="008A4A81" w:rsidRDefault="00E04688" w:rsidP="00E04688">
      <w:pPr>
        <w:keepNext/>
        <w:tabs>
          <w:tab w:val="num" w:pos="993"/>
        </w:tabs>
        <w:spacing w:before="120"/>
        <w:ind w:left="993" w:hanging="993"/>
        <w:jc w:val="both"/>
        <w:outlineLvl w:val="2"/>
        <w:rPr>
          <w:b/>
          <w:i/>
          <w:szCs w:val="20"/>
          <w:lang w:val="bg-BG"/>
        </w:rPr>
      </w:pPr>
      <w:bookmarkStart w:id="2" w:name="_Toc387757002"/>
      <w:r w:rsidRPr="008A4A81">
        <w:rPr>
          <w:b/>
          <w:i/>
          <w:szCs w:val="20"/>
          <w:lang w:val="bg-BG"/>
        </w:rPr>
        <w:t>Етап 3</w:t>
      </w:r>
      <w:bookmarkEnd w:id="2"/>
      <w:r w:rsidRPr="008A4A81">
        <w:rPr>
          <w:b/>
          <w:i/>
          <w:szCs w:val="20"/>
          <w:lang w:val="bg-BG"/>
        </w:rPr>
        <w:t xml:space="preserve"> </w:t>
      </w:r>
    </w:p>
    <w:p w:rsidR="00E04688" w:rsidRPr="008A4A81" w:rsidRDefault="00E04688" w:rsidP="00E04688">
      <w:pPr>
        <w:spacing w:line="276" w:lineRule="auto"/>
        <w:ind w:firstLine="709"/>
        <w:jc w:val="both"/>
        <w:rPr>
          <w:szCs w:val="20"/>
          <w:lang w:val="bg-BG"/>
        </w:rPr>
      </w:pPr>
      <w:r w:rsidRPr="008A4A81">
        <w:rPr>
          <w:szCs w:val="20"/>
          <w:lang w:val="bg-BG"/>
        </w:rPr>
        <w:t>При настъпила необходимост, изпълнителят отразява направени бележки и препоръки от предварителен контрол, като в хода на провеждане на процедурите на обществени поръчки, Изпълнителят оказва съдействие при подготовка разяснения по документацията за участие, касаещи изготвените от него технически документи, при условията и сроковете предвидени в чл. 29 от ЗОП и при съблюдаване и осигуряване на необходимото техническо време за обработка и публикуване на писмените разяснения от Възложителя. Задълженията на изпълнителя по този етап приключват след изтичане на четири дни, считано от посочените срокове в чл. 29, ал. 1 от ЗОП по отношение на най-късно обявената процедура, посочена в настоящата техническа спецификация.</w:t>
      </w:r>
    </w:p>
    <w:p w:rsidR="00E04688" w:rsidRPr="008A4A81" w:rsidRDefault="00E04688" w:rsidP="00E04688">
      <w:pPr>
        <w:ind w:left="360"/>
        <w:jc w:val="both"/>
        <w:rPr>
          <w:lang w:eastAsia="bg-BG"/>
        </w:rPr>
      </w:pPr>
    </w:p>
    <w:p w:rsidR="00E04688" w:rsidRPr="008A4A81" w:rsidRDefault="00E04688" w:rsidP="00E04688">
      <w:pPr>
        <w:keepNext/>
        <w:keepLines/>
        <w:tabs>
          <w:tab w:val="num" w:pos="993"/>
        </w:tabs>
        <w:spacing w:after="120"/>
        <w:ind w:left="993" w:hanging="993"/>
        <w:outlineLvl w:val="1"/>
        <w:rPr>
          <w:b/>
          <w:szCs w:val="20"/>
          <w:u w:val="single"/>
          <w:lang w:val="bg-BG"/>
        </w:rPr>
      </w:pPr>
      <w:bookmarkStart w:id="3" w:name="_Toc387757006"/>
      <w:r w:rsidRPr="008A4A81">
        <w:rPr>
          <w:b/>
          <w:szCs w:val="20"/>
          <w:lang w:val="bg-BG"/>
        </w:rPr>
        <w:tab/>
      </w:r>
      <w:r w:rsidRPr="008A4A81">
        <w:rPr>
          <w:b/>
          <w:szCs w:val="20"/>
          <w:u w:val="single"/>
          <w:lang w:val="bg-BG"/>
        </w:rPr>
        <w:t>Съгласуване на изпълнението</w:t>
      </w:r>
      <w:bookmarkEnd w:id="3"/>
      <w:r w:rsidRPr="008A4A81">
        <w:rPr>
          <w:b/>
          <w:szCs w:val="20"/>
          <w:u w:val="single"/>
          <w:lang w:val="bg-BG"/>
        </w:rPr>
        <w:t>:</w:t>
      </w:r>
    </w:p>
    <w:p w:rsidR="00E04688" w:rsidRPr="008A4A81" w:rsidRDefault="00E04688" w:rsidP="00E04688">
      <w:pPr>
        <w:spacing w:line="276" w:lineRule="auto"/>
        <w:ind w:firstLine="708"/>
        <w:jc w:val="both"/>
        <w:rPr>
          <w:szCs w:val="20"/>
          <w:lang w:val="bg-BG"/>
        </w:rPr>
      </w:pPr>
    </w:p>
    <w:p w:rsidR="00E04688" w:rsidRPr="008A4A81" w:rsidRDefault="00E04688" w:rsidP="00E04688">
      <w:pPr>
        <w:spacing w:line="276" w:lineRule="auto"/>
        <w:ind w:firstLine="708"/>
        <w:jc w:val="both"/>
        <w:rPr>
          <w:szCs w:val="20"/>
          <w:lang w:val="bg-BG"/>
        </w:rPr>
      </w:pPr>
      <w:r w:rsidRPr="008A4A81">
        <w:rPr>
          <w:szCs w:val="20"/>
          <w:lang w:val="bg-BG"/>
        </w:rPr>
        <w:t xml:space="preserve">При изпълнение на дейностите по настоящата обществена поръчка и в съответствие с тяхната специфика, Изпълнителят следва: </w:t>
      </w:r>
    </w:p>
    <w:p w:rsidR="00E04688" w:rsidRPr="008A4A81" w:rsidRDefault="00E04688" w:rsidP="00E04688">
      <w:pPr>
        <w:numPr>
          <w:ilvl w:val="0"/>
          <w:numId w:val="28"/>
        </w:numPr>
        <w:spacing w:line="276" w:lineRule="auto"/>
        <w:contextualSpacing/>
        <w:jc w:val="both"/>
        <w:rPr>
          <w:szCs w:val="20"/>
          <w:lang w:val="bg-BG"/>
        </w:rPr>
      </w:pPr>
      <w:r w:rsidRPr="008A4A81">
        <w:rPr>
          <w:szCs w:val="20"/>
          <w:lang w:val="bg-BG"/>
        </w:rPr>
        <w:t>Да участва с екипа си в първоначална/ встъпителна среща с Възложителя за уточняване на въпроси във връзка с изпълнението на поръчката;</w:t>
      </w:r>
    </w:p>
    <w:p w:rsidR="00E04688" w:rsidRPr="008A4A81" w:rsidRDefault="00E04688" w:rsidP="00E04688">
      <w:pPr>
        <w:numPr>
          <w:ilvl w:val="0"/>
          <w:numId w:val="28"/>
        </w:numPr>
        <w:spacing w:line="276" w:lineRule="auto"/>
        <w:contextualSpacing/>
        <w:jc w:val="both"/>
        <w:rPr>
          <w:szCs w:val="20"/>
          <w:lang w:val="bg-BG"/>
        </w:rPr>
      </w:pPr>
      <w:r w:rsidRPr="008A4A81">
        <w:rPr>
          <w:szCs w:val="20"/>
          <w:lang w:val="bg-BG"/>
        </w:rPr>
        <w:t>При подготовката на документацията да следва последователността, посочена от Възложителя, с оглед характера й произтичащата от това необходимост при изпълнението на всяка следваща поръчка /дейност/ да бъдат ползвани резултатите от предходната/ите.</w:t>
      </w:r>
    </w:p>
    <w:p w:rsidR="00E04688" w:rsidRPr="008A4A81" w:rsidRDefault="00E04688" w:rsidP="00E04688">
      <w:pPr>
        <w:numPr>
          <w:ilvl w:val="0"/>
          <w:numId w:val="28"/>
        </w:numPr>
        <w:spacing w:line="276" w:lineRule="auto"/>
        <w:contextualSpacing/>
        <w:jc w:val="both"/>
        <w:rPr>
          <w:szCs w:val="20"/>
          <w:lang w:val="bg-BG"/>
        </w:rPr>
      </w:pPr>
      <w:r w:rsidRPr="008A4A81">
        <w:rPr>
          <w:szCs w:val="20"/>
          <w:lang w:val="bg-BG"/>
        </w:rPr>
        <w:t xml:space="preserve">Да съгласува всички изготвени доклади, материали и продукти предварително с екипа за управление на проекта и да ги предаде след получаване на одобрението им от ръководителя на проекта. </w:t>
      </w:r>
    </w:p>
    <w:p w:rsidR="00E04688" w:rsidRPr="008A4A81" w:rsidRDefault="00E04688" w:rsidP="00E04688">
      <w:pPr>
        <w:numPr>
          <w:ilvl w:val="0"/>
          <w:numId w:val="28"/>
        </w:numPr>
        <w:spacing w:line="276" w:lineRule="auto"/>
        <w:contextualSpacing/>
        <w:jc w:val="both"/>
        <w:rPr>
          <w:szCs w:val="20"/>
          <w:lang w:val="bg-BG"/>
        </w:rPr>
      </w:pPr>
      <w:r w:rsidRPr="008A4A81">
        <w:rPr>
          <w:szCs w:val="20"/>
          <w:lang w:val="bg-BG"/>
        </w:rPr>
        <w:t>Възложителят си запазва правото преди изпълнение на всяка конкретна процедури по ЗОП да иска корекции по продукта, ако се констатира отклонение от договореното или правилата на ЗОП или Вътрешните правила за провеждане на обществени поръчка на Възложителя.</w:t>
      </w:r>
    </w:p>
    <w:p w:rsidR="00E04688" w:rsidRPr="008A4A81" w:rsidRDefault="00E04688" w:rsidP="00E04688">
      <w:pPr>
        <w:spacing w:line="276" w:lineRule="auto"/>
        <w:ind w:firstLine="709"/>
        <w:jc w:val="both"/>
        <w:rPr>
          <w:szCs w:val="20"/>
          <w:lang w:val="bg-BG"/>
        </w:rPr>
      </w:pPr>
    </w:p>
    <w:p w:rsidR="00E04688" w:rsidRPr="008A4A81" w:rsidRDefault="00E04688" w:rsidP="00E04688">
      <w:pPr>
        <w:spacing w:line="276" w:lineRule="auto"/>
        <w:ind w:firstLine="708"/>
        <w:jc w:val="both"/>
        <w:rPr>
          <w:szCs w:val="20"/>
          <w:u w:val="single"/>
          <w:lang w:val="bg-BG"/>
        </w:rPr>
      </w:pPr>
      <w:r w:rsidRPr="008A4A81">
        <w:rPr>
          <w:szCs w:val="20"/>
          <w:u w:val="single"/>
          <w:lang w:val="bg-BG"/>
        </w:rPr>
        <w:t>Авторски права върху крайния продукт на поръчката:</w:t>
      </w:r>
    </w:p>
    <w:p w:rsidR="00E04688" w:rsidRPr="008A4A81" w:rsidRDefault="00E04688" w:rsidP="00E04688">
      <w:pPr>
        <w:spacing w:line="276" w:lineRule="auto"/>
        <w:ind w:firstLine="708"/>
        <w:jc w:val="both"/>
        <w:rPr>
          <w:szCs w:val="20"/>
          <w:lang w:val="bg-BG"/>
        </w:rPr>
      </w:pPr>
    </w:p>
    <w:p w:rsidR="00E04688" w:rsidRPr="008A4A81" w:rsidRDefault="00E04688" w:rsidP="00E04688">
      <w:pPr>
        <w:spacing w:line="276" w:lineRule="auto"/>
        <w:ind w:firstLine="708"/>
        <w:jc w:val="both"/>
        <w:rPr>
          <w:szCs w:val="20"/>
          <w:lang w:val="bg-BG"/>
        </w:rPr>
      </w:pPr>
      <w:r w:rsidRPr="008A4A81">
        <w:rPr>
          <w:szCs w:val="20"/>
          <w:lang w:val="bg-BG"/>
        </w:rPr>
        <w:t>Авторските права върху окончателните варианти на изготвените технически документации (</w:t>
      </w:r>
      <w:r w:rsidRPr="008A4A81">
        <w:rPr>
          <w:i/>
          <w:szCs w:val="20"/>
          <w:lang w:val="bg-BG"/>
        </w:rPr>
        <w:t>технически задания, методики и критерии за подбор на участници</w:t>
      </w:r>
      <w:r w:rsidRPr="008A4A81">
        <w:rPr>
          <w:szCs w:val="20"/>
          <w:lang w:val="bg-BG"/>
        </w:rPr>
        <w:t>), предмет на настоящата обществена поръчка ще принадлежат на Възложителя в обема, в който биха принадлежали на автора.</w:t>
      </w:r>
    </w:p>
    <w:p w:rsidR="00E04688" w:rsidRPr="008A4A81" w:rsidRDefault="00E04688" w:rsidP="00E04688">
      <w:pPr>
        <w:jc w:val="both"/>
        <w:rPr>
          <w:lang w:eastAsia="bg-BG"/>
        </w:rPr>
      </w:pPr>
    </w:p>
    <w:p w:rsidR="00E04688" w:rsidRPr="008A4A81" w:rsidRDefault="00E04688" w:rsidP="00E04688">
      <w:pPr>
        <w:numPr>
          <w:ilvl w:val="0"/>
          <w:numId w:val="22"/>
        </w:numPr>
        <w:spacing w:line="276" w:lineRule="auto"/>
        <w:ind w:left="0" w:firstLine="360"/>
        <w:contextualSpacing/>
        <w:jc w:val="both"/>
        <w:rPr>
          <w:b/>
          <w:lang w:val="bg-BG" w:eastAsia="bg-BG"/>
        </w:rPr>
      </w:pPr>
      <w:r w:rsidRPr="008A4A81">
        <w:rPr>
          <w:b/>
          <w:lang w:val="bg-BG" w:eastAsia="bg-BG"/>
        </w:rPr>
        <w:t xml:space="preserve">Общи изисквания при изпълнение на предмета на поръчката: </w:t>
      </w:r>
    </w:p>
    <w:p w:rsidR="00E04688" w:rsidRPr="008A4A81" w:rsidRDefault="00E04688" w:rsidP="00E04688">
      <w:pPr>
        <w:jc w:val="both"/>
        <w:rPr>
          <w:lang w:val="bg-BG" w:eastAsia="bg-BG"/>
        </w:rPr>
      </w:pPr>
    </w:p>
    <w:p w:rsidR="00E04688" w:rsidRPr="008A4A81" w:rsidRDefault="00E04688" w:rsidP="00E04688">
      <w:pPr>
        <w:jc w:val="both"/>
        <w:rPr>
          <w:lang w:val="bg-BG" w:eastAsia="bg-BG"/>
        </w:rPr>
      </w:pPr>
      <w:r w:rsidRPr="008A4A81">
        <w:rPr>
          <w:lang w:val="bg-BG" w:eastAsia="bg-BG"/>
        </w:rPr>
        <w:t xml:space="preserve">За всяка от описаните в т. </w:t>
      </w:r>
      <w:r w:rsidRPr="008A4A81">
        <w:rPr>
          <w:lang w:eastAsia="bg-BG"/>
        </w:rPr>
        <w:t xml:space="preserve">I </w:t>
      </w:r>
      <w:r w:rsidRPr="008A4A81">
        <w:rPr>
          <w:lang w:val="bg-BG" w:eastAsia="bg-BG"/>
        </w:rPr>
        <w:t>процедури следва да се разработи техническа документация, включваща:</w:t>
      </w:r>
    </w:p>
    <w:p w:rsidR="00E04688" w:rsidRPr="008A4A81" w:rsidRDefault="00E04688" w:rsidP="00E04688">
      <w:pPr>
        <w:numPr>
          <w:ilvl w:val="0"/>
          <w:numId w:val="23"/>
        </w:numPr>
        <w:spacing w:before="120" w:line="276" w:lineRule="auto"/>
        <w:ind w:left="0" w:firstLine="927"/>
        <w:jc w:val="both"/>
        <w:rPr>
          <w:lang w:val="bg-BG"/>
        </w:rPr>
      </w:pPr>
      <w:r w:rsidRPr="008A4A81">
        <w:rPr>
          <w:lang w:val="bg-BG"/>
        </w:rPr>
        <w:t xml:space="preserve">Техническо задание (техническа спецификация), </w:t>
      </w:r>
      <w:r w:rsidRPr="008A4A81">
        <w:rPr>
          <w:szCs w:val="20"/>
          <w:lang w:val="bg-BG"/>
        </w:rPr>
        <w:t xml:space="preserve">разработена при стриктното спазване на изискванията на Раздел IV от Глава </w:t>
      </w:r>
      <w:r w:rsidRPr="008A4A81">
        <w:rPr>
          <w:szCs w:val="20"/>
        </w:rPr>
        <w:t xml:space="preserve">III </w:t>
      </w:r>
      <w:r w:rsidRPr="008A4A81">
        <w:rPr>
          <w:szCs w:val="20"/>
          <w:lang w:val="bg-BG"/>
        </w:rPr>
        <w:t>от ЗОП</w:t>
      </w:r>
      <w:r w:rsidRPr="008A4A81">
        <w:rPr>
          <w:lang w:val="bg-BG"/>
        </w:rPr>
        <w:t>;</w:t>
      </w:r>
    </w:p>
    <w:p w:rsidR="00E04688" w:rsidRPr="008A4A81" w:rsidRDefault="00E04688" w:rsidP="00E04688">
      <w:pPr>
        <w:numPr>
          <w:ilvl w:val="0"/>
          <w:numId w:val="23"/>
        </w:numPr>
        <w:spacing w:before="120" w:line="276" w:lineRule="auto"/>
        <w:ind w:left="0" w:firstLine="927"/>
        <w:jc w:val="both"/>
        <w:rPr>
          <w:lang w:val="bg-BG"/>
        </w:rPr>
      </w:pPr>
      <w:r w:rsidRPr="008A4A81">
        <w:rPr>
          <w:lang w:val="bg-BG"/>
        </w:rPr>
        <w:t>Критерий за оценка на офертата, като при критерий икономически най – изгодна оферта се посочват и показателите и подпоказателите /ако има такива/, относителната им тежест и точна и конкретна методиката за определяне на комплексната оценка на офертата. Методиката следва да съдържа точни указания за определяне на оценката по всеки показател /респ. подпоказател/ и за определяне на комплексната оценка на офертите, включително за относителната тежест, която възложителят дава на всеки от показателите /респ. подпоказателите/ за определяне на икономически най-изгодната оферта, както и точният механизъм по изчисляване и определяне на оценките;</w:t>
      </w:r>
    </w:p>
    <w:p w:rsidR="00E04688" w:rsidRPr="008A4A81" w:rsidRDefault="00E04688" w:rsidP="00E04688">
      <w:pPr>
        <w:numPr>
          <w:ilvl w:val="0"/>
          <w:numId w:val="23"/>
        </w:numPr>
        <w:spacing w:before="120" w:line="276" w:lineRule="auto"/>
        <w:ind w:left="0" w:firstLine="927"/>
        <w:jc w:val="both"/>
        <w:rPr>
          <w:lang w:val="bg-BG"/>
        </w:rPr>
      </w:pPr>
      <w:r w:rsidRPr="008A4A81">
        <w:rPr>
          <w:lang w:val="bg-BG"/>
        </w:rPr>
        <w:t>Примерни критерии за подбор на участниците - икономически и технически изисквания, включващи</w:t>
      </w:r>
      <w:r w:rsidRPr="008A4A81">
        <w:rPr>
          <w:szCs w:val="20"/>
          <w:lang w:val="bg-BG"/>
        </w:rPr>
        <w:t>: минималните изисквания за икономическо и финансово състояние, в съответствие на чл. 50 от ЗОП, на които трябва да отговарят участниците, както и документите, с които съответствие с тези изисквания се доказва; минималните изисквания за технически възможности и/или квалификация, в съответствие на чл. 51 от ЗОП, на които участниците трябва да отговарят, както и документите, с които съответствие с тези изисквания се доказва. Анализ и обосновка на поставените пред участниците минимални икономически и технически изисквания.</w:t>
      </w:r>
    </w:p>
    <w:p w:rsidR="00E04688" w:rsidRPr="008A4A81" w:rsidRDefault="00E04688" w:rsidP="00E04688">
      <w:pPr>
        <w:spacing w:line="276" w:lineRule="auto"/>
        <w:ind w:left="720"/>
        <w:contextualSpacing/>
        <w:rPr>
          <w:lang w:val="bg-BG" w:eastAsia="bg-BG"/>
        </w:rPr>
      </w:pPr>
    </w:p>
    <w:p w:rsidR="00E04688" w:rsidRPr="008A4A81" w:rsidRDefault="00E04688" w:rsidP="00E04688">
      <w:pPr>
        <w:spacing w:line="276" w:lineRule="auto"/>
        <w:jc w:val="both"/>
        <w:rPr>
          <w:lang w:val="bg-BG" w:eastAsia="bg-BG"/>
        </w:rPr>
      </w:pPr>
      <w:r w:rsidRPr="008A4A81">
        <w:rPr>
          <w:lang w:val="bg-BG" w:eastAsia="bg-BG"/>
        </w:rPr>
        <w:t xml:space="preserve">Изпълнителят на настоящата обществена поръчка трябва да изготви необходимата документация, съобразно посоченото по-горе (технически спецификации, методики за оценка на офертите, критерии за подбор на участниците) за провеждане на открити процедури по ЗОП при спазване изискванията на: </w:t>
      </w:r>
    </w:p>
    <w:p w:rsidR="00E04688" w:rsidRPr="008A4A81" w:rsidRDefault="00E04688" w:rsidP="00E04688">
      <w:pPr>
        <w:numPr>
          <w:ilvl w:val="0"/>
          <w:numId w:val="24"/>
        </w:numPr>
        <w:spacing w:line="276" w:lineRule="auto"/>
        <w:contextualSpacing/>
        <w:jc w:val="both"/>
        <w:rPr>
          <w:lang w:val="bg-BG" w:eastAsia="bg-BG"/>
        </w:rPr>
      </w:pPr>
      <w:r w:rsidRPr="008A4A81">
        <w:rPr>
          <w:lang w:val="bg-BG" w:eastAsia="bg-BG"/>
        </w:rPr>
        <w:t>Общностното законодателство в областта на обществените поръчки;</w:t>
      </w:r>
    </w:p>
    <w:p w:rsidR="00E04688" w:rsidRPr="008A4A81" w:rsidRDefault="00E04688" w:rsidP="00E04688">
      <w:pPr>
        <w:numPr>
          <w:ilvl w:val="0"/>
          <w:numId w:val="24"/>
        </w:numPr>
        <w:spacing w:line="276" w:lineRule="auto"/>
        <w:contextualSpacing/>
        <w:jc w:val="both"/>
        <w:rPr>
          <w:lang w:val="bg-BG" w:eastAsia="bg-BG"/>
        </w:rPr>
      </w:pPr>
      <w:r w:rsidRPr="008A4A81">
        <w:rPr>
          <w:lang w:val="bg-BG" w:eastAsia="bg-BG"/>
        </w:rPr>
        <w:t>Закона за обществените поръчки (ЗОП) и Правилника за прилагането му;</w:t>
      </w:r>
    </w:p>
    <w:p w:rsidR="00E04688" w:rsidRPr="008A4A81" w:rsidRDefault="00E04688" w:rsidP="00E04688">
      <w:pPr>
        <w:numPr>
          <w:ilvl w:val="0"/>
          <w:numId w:val="24"/>
        </w:numPr>
        <w:spacing w:line="276" w:lineRule="auto"/>
        <w:contextualSpacing/>
        <w:jc w:val="both"/>
        <w:rPr>
          <w:lang w:val="bg-BG" w:eastAsia="bg-BG"/>
        </w:rPr>
      </w:pPr>
      <w:r w:rsidRPr="008A4A81">
        <w:rPr>
          <w:lang w:val="bg-BG" w:eastAsia="bg-BG"/>
        </w:rPr>
        <w:t>Вътрешните правила на Възложителя за възлагане на обществени поръчки.</w:t>
      </w:r>
    </w:p>
    <w:p w:rsidR="00E04688" w:rsidRPr="008A4A81" w:rsidRDefault="00E04688" w:rsidP="00E04688">
      <w:pPr>
        <w:numPr>
          <w:ilvl w:val="0"/>
          <w:numId w:val="24"/>
        </w:numPr>
        <w:autoSpaceDE w:val="0"/>
        <w:autoSpaceDN w:val="0"/>
        <w:adjustRightInd w:val="0"/>
        <w:contextualSpacing/>
        <w:jc w:val="both"/>
        <w:rPr>
          <w:rFonts w:eastAsia="Calibri"/>
          <w:lang w:val="bg-BG"/>
        </w:rPr>
      </w:pPr>
      <w:r w:rsidRPr="008A4A81">
        <w:rPr>
          <w:szCs w:val="20"/>
          <w:lang w:val="bg-BG"/>
        </w:rPr>
        <w:t xml:space="preserve">Дейностите и времевия график на проект </w:t>
      </w:r>
      <w:r w:rsidRPr="008A4A81">
        <w:rPr>
          <w:rFonts w:eastAsia="Calibri"/>
          <w:lang w:val="bg-BG"/>
        </w:rPr>
        <w:t>BG05SFOP001</w:t>
      </w:r>
      <w:r>
        <w:rPr>
          <w:rFonts w:eastAsia="Calibri"/>
          <w:lang w:val="bg-BG"/>
        </w:rPr>
        <w:t>-</w:t>
      </w:r>
      <w:r w:rsidRPr="008A4A81">
        <w:rPr>
          <w:rFonts w:eastAsia="Calibri"/>
          <w:lang w:val="bg-BG"/>
        </w:rPr>
        <w:t>1.001</w:t>
      </w:r>
      <w:r>
        <w:rPr>
          <w:rFonts w:eastAsia="Calibri"/>
          <w:lang w:val="bg-BG"/>
        </w:rPr>
        <w:t>-</w:t>
      </w:r>
      <w:r w:rsidRPr="008A4A81">
        <w:rPr>
          <w:rFonts w:eastAsia="Calibri"/>
          <w:lang w:val="bg-BG"/>
        </w:rPr>
        <w:t>0002 „Трансформация на модела на административно обслужване“ в изпълнение, на който се провеждат процедурите за обществени поръчки;</w:t>
      </w:r>
    </w:p>
    <w:p w:rsidR="00E04688" w:rsidRPr="008A4A81" w:rsidRDefault="00E04688" w:rsidP="00E04688">
      <w:pPr>
        <w:numPr>
          <w:ilvl w:val="0"/>
          <w:numId w:val="24"/>
        </w:numPr>
        <w:autoSpaceDE w:val="0"/>
        <w:autoSpaceDN w:val="0"/>
        <w:adjustRightInd w:val="0"/>
        <w:contextualSpacing/>
        <w:jc w:val="both"/>
        <w:rPr>
          <w:rFonts w:eastAsia="Calibri"/>
          <w:lang w:val="bg-BG"/>
        </w:rPr>
      </w:pPr>
      <w:r w:rsidRPr="008A4A81">
        <w:rPr>
          <w:rFonts w:eastAsia="Calibri"/>
          <w:lang w:val="bg-BG"/>
        </w:rPr>
        <w:t>Общите и специфични условия и изисквания на ОП „Добро управление“, свързани с изпълнение на договорите за безвъзмездна помощ и съответно с възлагане на дейности на външен изпълнител.</w:t>
      </w:r>
    </w:p>
    <w:p w:rsidR="00E04688" w:rsidRPr="008A4A81" w:rsidRDefault="00E04688" w:rsidP="00E04688">
      <w:pPr>
        <w:autoSpaceDE w:val="0"/>
        <w:autoSpaceDN w:val="0"/>
        <w:adjustRightInd w:val="0"/>
        <w:jc w:val="both"/>
        <w:rPr>
          <w:rFonts w:eastAsia="Calibri"/>
          <w:lang w:val="bg-BG"/>
        </w:rPr>
      </w:pPr>
    </w:p>
    <w:p w:rsidR="00E04688" w:rsidRPr="008A4A81" w:rsidRDefault="00E04688" w:rsidP="00E04688">
      <w:pPr>
        <w:spacing w:line="276" w:lineRule="auto"/>
        <w:jc w:val="both"/>
        <w:rPr>
          <w:szCs w:val="20"/>
          <w:lang w:val="bg-BG"/>
        </w:rPr>
      </w:pPr>
    </w:p>
    <w:p w:rsidR="00E04688" w:rsidRPr="008A4A81" w:rsidRDefault="00E04688" w:rsidP="00E04688">
      <w:pPr>
        <w:spacing w:line="276" w:lineRule="auto"/>
        <w:jc w:val="both"/>
        <w:rPr>
          <w:szCs w:val="20"/>
          <w:lang w:val="bg-BG"/>
        </w:rPr>
      </w:pPr>
    </w:p>
    <w:p w:rsidR="00E04688" w:rsidRPr="008A4A81" w:rsidRDefault="00E04688" w:rsidP="00E04688">
      <w:pPr>
        <w:jc w:val="both"/>
        <w:rPr>
          <w:lang w:val="bg-BG"/>
        </w:rPr>
      </w:pPr>
    </w:p>
    <w:p w:rsidR="00E04688" w:rsidRPr="008A4A81" w:rsidRDefault="00E04688" w:rsidP="00E04688">
      <w:pPr>
        <w:spacing w:after="200" w:line="276" w:lineRule="auto"/>
        <w:rPr>
          <w:rFonts w:ascii="Calibri" w:eastAsia="Calibri" w:hAnsi="Calibri"/>
          <w:sz w:val="22"/>
          <w:szCs w:val="22"/>
          <w:lang w:val="bg-BG"/>
        </w:rPr>
      </w:pPr>
    </w:p>
    <w:p w:rsidR="00E04688" w:rsidRPr="008A4A81" w:rsidRDefault="00E04688" w:rsidP="00E04688">
      <w:pPr>
        <w:rPr>
          <w:i/>
          <w:iCs/>
          <w:lang w:val="ru-RU" w:eastAsia="bg-BG"/>
        </w:rPr>
      </w:pPr>
    </w:p>
    <w:p w:rsidR="008A4A81" w:rsidRPr="008A4A81" w:rsidRDefault="008A4A81" w:rsidP="00DC3443">
      <w:pPr>
        <w:tabs>
          <w:tab w:val="left" w:pos="7294"/>
        </w:tabs>
        <w:spacing w:line="276" w:lineRule="auto"/>
        <w:ind w:firstLine="567"/>
        <w:rPr>
          <w:rFonts w:eastAsia="Calibri"/>
          <w:b/>
          <w:lang w:val="bg-BG"/>
        </w:rPr>
      </w:pPr>
      <w:bookmarkStart w:id="4" w:name="_GoBack"/>
      <w:bookmarkEnd w:id="4"/>
    </w:p>
    <w:sectPr w:rsidR="008A4A81" w:rsidRPr="008A4A81" w:rsidSect="00AF5ADF">
      <w:headerReference w:type="default" r:id="rId9"/>
      <w:footerReference w:type="default" r:id="rId10"/>
      <w:pgSz w:w="11906" w:h="16838"/>
      <w:pgMar w:top="1021"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A4" w:rsidRDefault="00260AA4" w:rsidP="002E4A9A">
      <w:r>
        <w:separator/>
      </w:r>
    </w:p>
  </w:endnote>
  <w:endnote w:type="continuationSeparator" w:id="0">
    <w:p w:rsidR="00260AA4" w:rsidRDefault="00260AA4" w:rsidP="002E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0867"/>
      <w:docPartObj>
        <w:docPartGallery w:val="Page Numbers (Bottom of Page)"/>
        <w:docPartUnique/>
      </w:docPartObj>
    </w:sdtPr>
    <w:sdtEndPr>
      <w:rPr>
        <w:noProof/>
      </w:rPr>
    </w:sdtEndPr>
    <w:sdtContent>
      <w:p w:rsidR="00656C13" w:rsidRDefault="00656C13">
        <w:pPr>
          <w:pStyle w:val="Footer"/>
          <w:jc w:val="right"/>
        </w:pPr>
        <w:r>
          <w:fldChar w:fldCharType="begin"/>
        </w:r>
        <w:r>
          <w:instrText xml:space="preserve"> PAGE   \* MERGEFORMAT </w:instrText>
        </w:r>
        <w:r>
          <w:fldChar w:fldCharType="separate"/>
        </w:r>
        <w:r w:rsidR="00260AA4">
          <w:rPr>
            <w:noProof/>
          </w:rPr>
          <w:t>1</w:t>
        </w:r>
        <w:r>
          <w:rPr>
            <w:noProof/>
          </w:rPr>
          <w:fldChar w:fldCharType="end"/>
        </w:r>
      </w:p>
    </w:sdtContent>
  </w:sdt>
  <w:p w:rsidR="00A47F11" w:rsidRPr="00AF5ADF" w:rsidRDefault="00A47F11" w:rsidP="00AF5ADF">
    <w:pPr>
      <w:tabs>
        <w:tab w:val="center" w:pos="4536"/>
        <w:tab w:val="right" w:pos="9072"/>
      </w:tabs>
      <w:jc w:val="both"/>
      <w:rPr>
        <w:i/>
        <w:sz w:val="20"/>
        <w:szCs w:val="22"/>
        <w:lang w:val="bg-B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A4" w:rsidRDefault="00260AA4" w:rsidP="002E4A9A">
      <w:r>
        <w:separator/>
      </w:r>
    </w:p>
  </w:footnote>
  <w:footnote w:type="continuationSeparator" w:id="0">
    <w:p w:rsidR="00260AA4" w:rsidRDefault="00260AA4" w:rsidP="002E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11" w:rsidRPr="00AF5ADF" w:rsidRDefault="00A47F11" w:rsidP="00AF5ADF">
    <w:pPr>
      <w:pBdr>
        <w:bottom w:val="single" w:sz="6" w:space="1" w:color="auto"/>
      </w:pBdr>
      <w:tabs>
        <w:tab w:val="center" w:pos="4536"/>
        <w:tab w:val="right" w:pos="9072"/>
      </w:tabs>
      <w:rPr>
        <w:lang w:eastAsia="bg-BG"/>
      </w:rPr>
    </w:pPr>
    <w:r w:rsidRPr="00AF5ADF">
      <w:rPr>
        <w:noProof/>
        <w:lang w:val="bg-BG" w:eastAsia="bg-BG"/>
      </w:rPr>
      <w:drawing>
        <wp:inline distT="0" distB="0" distL="0" distR="0" wp14:anchorId="6A94C07B" wp14:editId="67A91F13">
          <wp:extent cx="2096813" cy="7290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20876" cy="737401"/>
                  </a:xfrm>
                  <a:prstGeom prst="rect">
                    <a:avLst/>
                  </a:prstGeom>
                  <a:noFill/>
                  <a:ln>
                    <a:noFill/>
                  </a:ln>
                </pic:spPr>
              </pic:pic>
            </a:graphicData>
          </a:graphic>
        </wp:inline>
      </w:drawing>
    </w:r>
    <w:r>
      <w:rPr>
        <w:lang w:val="bg-BG" w:eastAsia="bg-BG"/>
      </w:rPr>
      <w:tab/>
    </w:r>
    <w:r>
      <w:rPr>
        <w:lang w:val="bg-BG" w:eastAsia="bg-BG"/>
      </w:rPr>
      <w:tab/>
    </w:r>
    <w:r>
      <w:rPr>
        <w:noProof/>
        <w:lang w:val="bg-BG" w:eastAsia="bg-BG"/>
      </w:rPr>
      <w:drawing>
        <wp:inline distT="0" distB="0" distL="0" distR="0" wp14:anchorId="5E1A076C" wp14:editId="279BAD2D">
          <wp:extent cx="1939157" cy="802932"/>
          <wp:effectExtent l="0" t="0" r="4445" b="0"/>
          <wp:docPr id="34" name="Picture 34"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2">
                    <a:extLst>
                      <a:ext uri="{28A0092B-C50C-407E-A947-70E740481C1C}">
                        <a14:useLocalDpi xmlns:a14="http://schemas.microsoft.com/office/drawing/2010/main" val="0"/>
                      </a:ext>
                    </a:extLst>
                  </a:blip>
                  <a:srcRect r="7172"/>
                  <a:stretch/>
                </pic:blipFill>
                <pic:spPr bwMode="auto">
                  <a:xfrm>
                    <a:off x="0" y="0"/>
                    <a:ext cx="1947236" cy="806277"/>
                  </a:xfrm>
                  <a:prstGeom prst="rect">
                    <a:avLst/>
                  </a:prstGeom>
                  <a:noFill/>
                  <a:ln>
                    <a:noFill/>
                  </a:ln>
                  <a:extLst>
                    <a:ext uri="{53640926-AAD7-44D8-BBD7-CCE9431645EC}">
                      <a14:shadowObscured xmlns:a14="http://schemas.microsoft.com/office/drawing/2010/main"/>
                    </a:ext>
                  </a:extLst>
                </pic:spPr>
              </pic:pic>
            </a:graphicData>
          </a:graphic>
        </wp:inline>
      </w:drawing>
    </w:r>
    <w:r>
      <w:rPr>
        <w:lang w:val="bg-BG" w:eastAsia="bg-BG"/>
      </w:rPr>
      <w:tab/>
    </w:r>
    <w:r w:rsidRPr="00AF5ADF">
      <w:rPr>
        <w:lang w:val="bg-BG" w:eastAsia="bg-BG"/>
      </w:rPr>
      <w:ptab w:relativeTo="margin" w:alignment="left" w:leader="none"/>
    </w:r>
    <w:r w:rsidRPr="00AF5ADF">
      <w:rPr>
        <w:lang w:val="bg-BG" w:eastAsia="bg-BG"/>
      </w:rPr>
      <w:ptab w:relativeTo="margin" w:alignment="left" w:leader="none"/>
    </w:r>
  </w:p>
  <w:p w:rsidR="00A47F11" w:rsidRDefault="00A47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DCF"/>
    <w:multiLevelType w:val="hybridMultilevel"/>
    <w:tmpl w:val="11925684"/>
    <w:lvl w:ilvl="0" w:tplc="B0EE1440">
      <w:start w:val="5"/>
      <w:numFmt w:val="decimal"/>
      <w:lvlText w:val="%1."/>
      <w:lvlJc w:val="left"/>
      <w:pPr>
        <w:tabs>
          <w:tab w:val="num" w:pos="1068"/>
        </w:tabs>
        <w:ind w:left="1068" w:hanging="360"/>
      </w:pPr>
      <w:rPr>
        <w:b/>
        <w:i w:val="0"/>
        <w:color w:val="auto"/>
      </w:rPr>
    </w:lvl>
    <w:lvl w:ilvl="1" w:tplc="04020019">
      <w:start w:val="1"/>
      <w:numFmt w:val="lowerLetter"/>
      <w:lvlText w:val="%2."/>
      <w:lvlJc w:val="left"/>
      <w:pPr>
        <w:tabs>
          <w:tab w:val="num" w:pos="1788"/>
        </w:tabs>
        <w:ind w:left="1788"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3228"/>
        </w:tabs>
        <w:ind w:left="3228"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2813AC1"/>
    <w:multiLevelType w:val="hybridMultilevel"/>
    <w:tmpl w:val="E250A3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4EC797C"/>
    <w:multiLevelType w:val="multilevel"/>
    <w:tmpl w:val="0402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84116E"/>
    <w:multiLevelType w:val="hybridMultilevel"/>
    <w:tmpl w:val="2CD2C9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7438E9"/>
    <w:multiLevelType w:val="hybridMultilevel"/>
    <w:tmpl w:val="F78076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4967526"/>
    <w:multiLevelType w:val="hybridMultilevel"/>
    <w:tmpl w:val="403EE8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AC11BB0"/>
    <w:multiLevelType w:val="hybridMultilevel"/>
    <w:tmpl w:val="70D04F24"/>
    <w:lvl w:ilvl="0" w:tplc="E8A0E1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7EE1FBF"/>
    <w:multiLevelType w:val="hybridMultilevel"/>
    <w:tmpl w:val="C1BAAFD6"/>
    <w:lvl w:ilvl="0" w:tplc="F140AB44">
      <w:start w:val="1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9945BCD"/>
    <w:multiLevelType w:val="hybridMultilevel"/>
    <w:tmpl w:val="0034269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3A9A564C"/>
    <w:multiLevelType w:val="hybridMultilevel"/>
    <w:tmpl w:val="200007EC"/>
    <w:lvl w:ilvl="0" w:tplc="7C32203C">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D906F1F"/>
    <w:multiLevelType w:val="hybridMultilevel"/>
    <w:tmpl w:val="DFA2CE60"/>
    <w:lvl w:ilvl="0" w:tplc="A07E7B9E">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3E9100DC"/>
    <w:multiLevelType w:val="hybridMultilevel"/>
    <w:tmpl w:val="81B0E3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1261942"/>
    <w:multiLevelType w:val="hybridMultilevel"/>
    <w:tmpl w:val="56FECF74"/>
    <w:lvl w:ilvl="0" w:tplc="EA289E7E">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1882F4B"/>
    <w:multiLevelType w:val="hybridMultilevel"/>
    <w:tmpl w:val="6C8001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3D73F49"/>
    <w:multiLevelType w:val="multilevel"/>
    <w:tmpl w:val="4CDE5A0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4041D9B"/>
    <w:multiLevelType w:val="hybridMultilevel"/>
    <w:tmpl w:val="870C7508"/>
    <w:lvl w:ilvl="0" w:tplc="13587658">
      <w:start w:val="1"/>
      <w:numFmt w:val="upperRoman"/>
      <w:lvlText w:val="%1."/>
      <w:lvlJc w:val="left"/>
      <w:pPr>
        <w:ind w:left="1495" w:hanging="720"/>
      </w:pPr>
      <w:rPr>
        <w:rFonts w:hint="default"/>
        <w:b/>
      </w:rPr>
    </w:lvl>
    <w:lvl w:ilvl="1" w:tplc="04020019">
      <w:start w:val="1"/>
      <w:numFmt w:val="lowerLetter"/>
      <w:lvlText w:val="%2."/>
      <w:lvlJc w:val="left"/>
      <w:pPr>
        <w:ind w:left="1855" w:hanging="360"/>
      </w:pPr>
    </w:lvl>
    <w:lvl w:ilvl="2" w:tplc="0402001B" w:tentative="1">
      <w:start w:val="1"/>
      <w:numFmt w:val="lowerRoman"/>
      <w:lvlText w:val="%3."/>
      <w:lvlJc w:val="right"/>
      <w:pPr>
        <w:ind w:left="2575" w:hanging="180"/>
      </w:pPr>
    </w:lvl>
    <w:lvl w:ilvl="3" w:tplc="0402000F" w:tentative="1">
      <w:start w:val="1"/>
      <w:numFmt w:val="decimal"/>
      <w:lvlText w:val="%4."/>
      <w:lvlJc w:val="left"/>
      <w:pPr>
        <w:ind w:left="3295" w:hanging="360"/>
      </w:pPr>
    </w:lvl>
    <w:lvl w:ilvl="4" w:tplc="04020019" w:tentative="1">
      <w:start w:val="1"/>
      <w:numFmt w:val="lowerLetter"/>
      <w:lvlText w:val="%5."/>
      <w:lvlJc w:val="left"/>
      <w:pPr>
        <w:ind w:left="4015" w:hanging="360"/>
      </w:pPr>
    </w:lvl>
    <w:lvl w:ilvl="5" w:tplc="0402001B" w:tentative="1">
      <w:start w:val="1"/>
      <w:numFmt w:val="lowerRoman"/>
      <w:lvlText w:val="%6."/>
      <w:lvlJc w:val="right"/>
      <w:pPr>
        <w:ind w:left="4735" w:hanging="180"/>
      </w:pPr>
    </w:lvl>
    <w:lvl w:ilvl="6" w:tplc="0402000F" w:tentative="1">
      <w:start w:val="1"/>
      <w:numFmt w:val="decimal"/>
      <w:lvlText w:val="%7."/>
      <w:lvlJc w:val="left"/>
      <w:pPr>
        <w:ind w:left="5455" w:hanging="360"/>
      </w:pPr>
    </w:lvl>
    <w:lvl w:ilvl="7" w:tplc="04020019" w:tentative="1">
      <w:start w:val="1"/>
      <w:numFmt w:val="lowerLetter"/>
      <w:lvlText w:val="%8."/>
      <w:lvlJc w:val="left"/>
      <w:pPr>
        <w:ind w:left="6175" w:hanging="360"/>
      </w:pPr>
    </w:lvl>
    <w:lvl w:ilvl="8" w:tplc="0402001B" w:tentative="1">
      <w:start w:val="1"/>
      <w:numFmt w:val="lowerRoman"/>
      <w:lvlText w:val="%9."/>
      <w:lvlJc w:val="right"/>
      <w:pPr>
        <w:ind w:left="6895" w:hanging="180"/>
      </w:pPr>
    </w:lvl>
  </w:abstractNum>
  <w:abstractNum w:abstractNumId="16">
    <w:nsid w:val="479A1F00"/>
    <w:multiLevelType w:val="hybridMultilevel"/>
    <w:tmpl w:val="072A1B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4271182"/>
    <w:multiLevelType w:val="hybridMultilevel"/>
    <w:tmpl w:val="554EFC6A"/>
    <w:lvl w:ilvl="0" w:tplc="017C2BEE">
      <w:start w:val="1"/>
      <w:numFmt w:val="decimal"/>
      <w:lvlText w:val="%1."/>
      <w:lvlJc w:val="left"/>
      <w:pPr>
        <w:ind w:left="1437" w:hanging="870"/>
      </w:pPr>
      <w:rPr>
        <w:rFonts w:ascii="Times New Roman" w:hAnsi="Times New Roman" w:cs="Times New Roman" w:hint="default"/>
        <w:b/>
      </w:rPr>
    </w:lvl>
    <w:lvl w:ilvl="1" w:tplc="04020019">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8">
    <w:nsid w:val="56B7747D"/>
    <w:multiLevelType w:val="hybridMultilevel"/>
    <w:tmpl w:val="4970B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7D71C47"/>
    <w:multiLevelType w:val="hybridMultilevel"/>
    <w:tmpl w:val="F70E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9AE4160"/>
    <w:multiLevelType w:val="hybridMultilevel"/>
    <w:tmpl w:val="895ABF5C"/>
    <w:lvl w:ilvl="0" w:tplc="04020001">
      <w:start w:val="1"/>
      <w:numFmt w:val="bullet"/>
      <w:lvlText w:val=""/>
      <w:lvlJc w:val="left"/>
      <w:pPr>
        <w:tabs>
          <w:tab w:val="num" w:pos="435"/>
        </w:tabs>
        <w:ind w:left="43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21">
    <w:nsid w:val="617B0389"/>
    <w:multiLevelType w:val="hybridMultilevel"/>
    <w:tmpl w:val="E23EF01A"/>
    <w:lvl w:ilvl="0" w:tplc="C2EC8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5677693"/>
    <w:multiLevelType w:val="hybridMultilevel"/>
    <w:tmpl w:val="10306F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9C87BB6"/>
    <w:multiLevelType w:val="hybridMultilevel"/>
    <w:tmpl w:val="954E52EA"/>
    <w:lvl w:ilvl="0" w:tplc="04020011">
      <w:start w:val="1"/>
      <w:numFmt w:val="decimal"/>
      <w:lvlText w:val="%1)"/>
      <w:lvlJc w:val="left"/>
      <w:pPr>
        <w:ind w:left="1287" w:hanging="360"/>
      </w:pPr>
      <w:rPr>
        <w:rFonts w:cs="Times New Roman"/>
      </w:rPr>
    </w:lvl>
    <w:lvl w:ilvl="1" w:tplc="04020011">
      <w:start w:val="1"/>
      <w:numFmt w:val="decimal"/>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24">
    <w:nsid w:val="6E0E4E5D"/>
    <w:multiLevelType w:val="hybridMultilevel"/>
    <w:tmpl w:val="3D62424E"/>
    <w:lvl w:ilvl="0" w:tplc="3D58CE42">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nsid w:val="713135C6"/>
    <w:multiLevelType w:val="hybridMultilevel"/>
    <w:tmpl w:val="FBEC387A"/>
    <w:lvl w:ilvl="0" w:tplc="DDA6B6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74AB13D7"/>
    <w:multiLevelType w:val="hybridMultilevel"/>
    <w:tmpl w:val="9788C54A"/>
    <w:lvl w:ilvl="0" w:tplc="04020011">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762E232C"/>
    <w:multiLevelType w:val="hybridMultilevel"/>
    <w:tmpl w:val="C85C2CD4"/>
    <w:lvl w:ilvl="0" w:tplc="2D4898E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782B5792"/>
    <w:multiLevelType w:val="hybridMultilevel"/>
    <w:tmpl w:val="41749130"/>
    <w:lvl w:ilvl="0" w:tplc="4A760D62">
      <w:start w:val="1"/>
      <w:numFmt w:val="upperRoman"/>
      <w:lvlText w:val="%1."/>
      <w:lvlJc w:val="left"/>
      <w:pPr>
        <w:tabs>
          <w:tab w:val="num" w:pos="1080"/>
        </w:tabs>
        <w:ind w:left="1080" w:hanging="720"/>
      </w:pPr>
      <w:rPr>
        <w:rFonts w:hint="default"/>
      </w:rPr>
    </w:lvl>
    <w:lvl w:ilvl="1" w:tplc="C6C62B5E">
      <w:numFmt w:val="none"/>
      <w:lvlText w:val=""/>
      <w:lvlJc w:val="left"/>
      <w:pPr>
        <w:tabs>
          <w:tab w:val="num" w:pos="360"/>
        </w:tabs>
      </w:pPr>
    </w:lvl>
    <w:lvl w:ilvl="2" w:tplc="327410DC">
      <w:numFmt w:val="none"/>
      <w:lvlText w:val=""/>
      <w:lvlJc w:val="left"/>
      <w:pPr>
        <w:tabs>
          <w:tab w:val="num" w:pos="360"/>
        </w:tabs>
      </w:pPr>
    </w:lvl>
    <w:lvl w:ilvl="3" w:tplc="40FEC302">
      <w:numFmt w:val="none"/>
      <w:lvlText w:val=""/>
      <w:lvlJc w:val="left"/>
      <w:pPr>
        <w:tabs>
          <w:tab w:val="num" w:pos="360"/>
        </w:tabs>
      </w:pPr>
    </w:lvl>
    <w:lvl w:ilvl="4" w:tplc="CE320A6A">
      <w:numFmt w:val="none"/>
      <w:lvlText w:val=""/>
      <w:lvlJc w:val="left"/>
      <w:pPr>
        <w:tabs>
          <w:tab w:val="num" w:pos="360"/>
        </w:tabs>
      </w:pPr>
    </w:lvl>
    <w:lvl w:ilvl="5" w:tplc="D012EC00">
      <w:numFmt w:val="none"/>
      <w:lvlText w:val=""/>
      <w:lvlJc w:val="left"/>
      <w:pPr>
        <w:tabs>
          <w:tab w:val="num" w:pos="360"/>
        </w:tabs>
      </w:pPr>
    </w:lvl>
    <w:lvl w:ilvl="6" w:tplc="752CAE66">
      <w:numFmt w:val="none"/>
      <w:lvlText w:val=""/>
      <w:lvlJc w:val="left"/>
      <w:pPr>
        <w:tabs>
          <w:tab w:val="num" w:pos="360"/>
        </w:tabs>
      </w:pPr>
    </w:lvl>
    <w:lvl w:ilvl="7" w:tplc="10E0C9DA">
      <w:numFmt w:val="none"/>
      <w:lvlText w:val=""/>
      <w:lvlJc w:val="left"/>
      <w:pPr>
        <w:tabs>
          <w:tab w:val="num" w:pos="360"/>
        </w:tabs>
      </w:pPr>
    </w:lvl>
    <w:lvl w:ilvl="8" w:tplc="4006792C">
      <w:numFmt w:val="none"/>
      <w:lvlText w:val=""/>
      <w:lvlJc w:val="left"/>
      <w:pPr>
        <w:tabs>
          <w:tab w:val="num" w:pos="360"/>
        </w:tabs>
      </w:pPr>
    </w:lvl>
  </w:abstractNum>
  <w:num w:numId="1">
    <w:abstractNumId w:val="0"/>
  </w:num>
  <w:num w:numId="2">
    <w:abstractNumId w:val="12"/>
  </w:num>
  <w:num w:numId="3">
    <w:abstractNumId w:val="10"/>
  </w:num>
  <w:num w:numId="4">
    <w:abstractNumId w:val="18"/>
  </w:num>
  <w:num w:numId="5">
    <w:abstractNumId w:val="3"/>
  </w:num>
  <w:num w:numId="6">
    <w:abstractNumId w:val="9"/>
  </w:num>
  <w:num w:numId="7">
    <w:abstractNumId w:val="25"/>
  </w:num>
  <w:num w:numId="8">
    <w:abstractNumId w:val="6"/>
  </w:num>
  <w:num w:numId="9">
    <w:abstractNumId w:val="5"/>
  </w:num>
  <w:num w:numId="10">
    <w:abstractNumId w:val="26"/>
  </w:num>
  <w:num w:numId="11">
    <w:abstractNumId w:val="4"/>
  </w:num>
  <w:num w:numId="12">
    <w:abstractNumId w:val="13"/>
  </w:num>
  <w:num w:numId="13">
    <w:abstractNumId w:val="2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23"/>
  </w:num>
  <w:num w:numId="18">
    <w:abstractNumId w:val="21"/>
  </w:num>
  <w:num w:numId="19">
    <w:abstractNumId w:val="15"/>
  </w:num>
  <w:num w:numId="20">
    <w:abstractNumId w:val="14"/>
  </w:num>
  <w:num w:numId="21">
    <w:abstractNumId w:val="7"/>
  </w:num>
  <w:num w:numId="22">
    <w:abstractNumId w:val="28"/>
  </w:num>
  <w:num w:numId="23">
    <w:abstractNumId w:val="8"/>
  </w:num>
  <w:num w:numId="24">
    <w:abstractNumId w:val="22"/>
  </w:num>
  <w:num w:numId="25">
    <w:abstractNumId w:val="11"/>
  </w:num>
  <w:num w:numId="26">
    <w:abstractNumId w:val="19"/>
  </w:num>
  <w:num w:numId="27">
    <w:abstractNumId w:val="16"/>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33"/>
    <w:rsid w:val="0001775F"/>
    <w:rsid w:val="00020B2A"/>
    <w:rsid w:val="000479C5"/>
    <w:rsid w:val="00065C75"/>
    <w:rsid w:val="00081AE0"/>
    <w:rsid w:val="000A425D"/>
    <w:rsid w:val="00105D50"/>
    <w:rsid w:val="00177049"/>
    <w:rsid w:val="00182DC6"/>
    <w:rsid w:val="00192298"/>
    <w:rsid w:val="001A2D23"/>
    <w:rsid w:val="00260AA4"/>
    <w:rsid w:val="00275634"/>
    <w:rsid w:val="002A439A"/>
    <w:rsid w:val="002B3FE9"/>
    <w:rsid w:val="002D222E"/>
    <w:rsid w:val="002E4A9A"/>
    <w:rsid w:val="003269DB"/>
    <w:rsid w:val="00336D49"/>
    <w:rsid w:val="003606E6"/>
    <w:rsid w:val="00374934"/>
    <w:rsid w:val="00384540"/>
    <w:rsid w:val="003A3AC3"/>
    <w:rsid w:val="00405A31"/>
    <w:rsid w:val="00445687"/>
    <w:rsid w:val="00447935"/>
    <w:rsid w:val="0046105D"/>
    <w:rsid w:val="00466453"/>
    <w:rsid w:val="0047312A"/>
    <w:rsid w:val="004D70B8"/>
    <w:rsid w:val="004F2DD9"/>
    <w:rsid w:val="004F729E"/>
    <w:rsid w:val="005249B8"/>
    <w:rsid w:val="00532AEB"/>
    <w:rsid w:val="00560C62"/>
    <w:rsid w:val="005825E1"/>
    <w:rsid w:val="005B4333"/>
    <w:rsid w:val="005C7B08"/>
    <w:rsid w:val="005D38B7"/>
    <w:rsid w:val="00603C0A"/>
    <w:rsid w:val="00650F60"/>
    <w:rsid w:val="00656C13"/>
    <w:rsid w:val="006C2B2A"/>
    <w:rsid w:val="006E32C8"/>
    <w:rsid w:val="00751244"/>
    <w:rsid w:val="00767227"/>
    <w:rsid w:val="00767F15"/>
    <w:rsid w:val="007A20CC"/>
    <w:rsid w:val="007D6367"/>
    <w:rsid w:val="007E0021"/>
    <w:rsid w:val="007F79C3"/>
    <w:rsid w:val="00835422"/>
    <w:rsid w:val="00841458"/>
    <w:rsid w:val="00841D4E"/>
    <w:rsid w:val="00863624"/>
    <w:rsid w:val="008903D8"/>
    <w:rsid w:val="008977ED"/>
    <w:rsid w:val="008A4A81"/>
    <w:rsid w:val="008D6697"/>
    <w:rsid w:val="00956625"/>
    <w:rsid w:val="009C359F"/>
    <w:rsid w:val="009D274E"/>
    <w:rsid w:val="00A373D7"/>
    <w:rsid w:val="00A47F11"/>
    <w:rsid w:val="00A545F2"/>
    <w:rsid w:val="00A62B48"/>
    <w:rsid w:val="00A97ACD"/>
    <w:rsid w:val="00AB0CDA"/>
    <w:rsid w:val="00AD759A"/>
    <w:rsid w:val="00AE56FC"/>
    <w:rsid w:val="00AE73F1"/>
    <w:rsid w:val="00AF5ADF"/>
    <w:rsid w:val="00B25581"/>
    <w:rsid w:val="00B46934"/>
    <w:rsid w:val="00B56CD4"/>
    <w:rsid w:val="00B75523"/>
    <w:rsid w:val="00B81CF6"/>
    <w:rsid w:val="00B928BE"/>
    <w:rsid w:val="00C70CF9"/>
    <w:rsid w:val="00CF17C2"/>
    <w:rsid w:val="00D158F7"/>
    <w:rsid w:val="00D33AB4"/>
    <w:rsid w:val="00D5123C"/>
    <w:rsid w:val="00D56AEC"/>
    <w:rsid w:val="00D6230F"/>
    <w:rsid w:val="00D644A8"/>
    <w:rsid w:val="00D91BA0"/>
    <w:rsid w:val="00DC3443"/>
    <w:rsid w:val="00DC663E"/>
    <w:rsid w:val="00DD4B5A"/>
    <w:rsid w:val="00DE62D8"/>
    <w:rsid w:val="00DF3D7B"/>
    <w:rsid w:val="00E04688"/>
    <w:rsid w:val="00E30B73"/>
    <w:rsid w:val="00E34E76"/>
    <w:rsid w:val="00E379A5"/>
    <w:rsid w:val="00E83B36"/>
    <w:rsid w:val="00E95A27"/>
    <w:rsid w:val="00EB3443"/>
    <w:rsid w:val="00EB760B"/>
    <w:rsid w:val="00EE0F62"/>
    <w:rsid w:val="00EF1D8A"/>
    <w:rsid w:val="00F04860"/>
    <w:rsid w:val="00F04D40"/>
    <w:rsid w:val="00F53144"/>
    <w:rsid w:val="00F563A5"/>
    <w:rsid w:val="00FF0EE9"/>
    <w:rsid w:val="00FF68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33"/>
    <w:pPr>
      <w:spacing w:after="0" w:line="240" w:lineRule="auto"/>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5B4333"/>
    <w:rPr>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5B4333"/>
    <w:rPr>
      <w:rFonts w:eastAsiaTheme="minorHAnsi"/>
      <w:lang w:val="en-GB"/>
    </w:rPr>
  </w:style>
  <w:style w:type="character" w:customStyle="1" w:styleId="FootnoteTextChar1">
    <w:name w:val="Footnote Text Char1"/>
    <w:basedOn w:val="DefaultParagraphFont"/>
    <w:uiPriority w:val="99"/>
    <w:semiHidden/>
    <w:rsid w:val="005B4333"/>
    <w:rPr>
      <w:rFonts w:eastAsia="Times New Roman"/>
      <w:sz w:val="20"/>
      <w:szCs w:val="20"/>
      <w:lang w:val="en-US"/>
    </w:rPr>
  </w:style>
  <w:style w:type="paragraph" w:styleId="PlainText">
    <w:name w:val="Plain Text"/>
    <w:basedOn w:val="Normal"/>
    <w:link w:val="PlainTextChar"/>
    <w:rsid w:val="005B4333"/>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5B4333"/>
    <w:rPr>
      <w:rFonts w:ascii="Courier New" w:eastAsia="Times New Roman" w:hAnsi="Courier New" w:cs="Courier New"/>
      <w:sz w:val="20"/>
      <w:szCs w:val="20"/>
      <w:lang w:eastAsia="bg-BG"/>
    </w:rPr>
  </w:style>
  <w:style w:type="character" w:styleId="FootnoteReference">
    <w:name w:val="footnote reference"/>
    <w:uiPriority w:val="99"/>
    <w:rsid w:val="005B4333"/>
    <w:rPr>
      <w:vertAlign w:val="superscript"/>
    </w:rPr>
  </w:style>
  <w:style w:type="paragraph" w:styleId="ListParagraph">
    <w:name w:val="List Paragraph"/>
    <w:basedOn w:val="Normal"/>
    <w:uiPriority w:val="34"/>
    <w:qFormat/>
    <w:rsid w:val="005B4333"/>
    <w:pPr>
      <w:ind w:left="720"/>
      <w:contextualSpacing/>
    </w:pPr>
  </w:style>
  <w:style w:type="character" w:styleId="CommentReference">
    <w:name w:val="annotation reference"/>
    <w:basedOn w:val="DefaultParagraphFont"/>
    <w:uiPriority w:val="99"/>
    <w:semiHidden/>
    <w:unhideWhenUsed/>
    <w:rsid w:val="005B4333"/>
    <w:rPr>
      <w:sz w:val="16"/>
      <w:szCs w:val="16"/>
    </w:rPr>
  </w:style>
  <w:style w:type="paragraph" w:styleId="CommentText">
    <w:name w:val="annotation text"/>
    <w:basedOn w:val="Normal"/>
    <w:link w:val="CommentTextChar"/>
    <w:uiPriority w:val="99"/>
    <w:semiHidden/>
    <w:unhideWhenUsed/>
    <w:rsid w:val="005B4333"/>
    <w:rPr>
      <w:sz w:val="20"/>
      <w:szCs w:val="20"/>
    </w:rPr>
  </w:style>
  <w:style w:type="character" w:customStyle="1" w:styleId="CommentTextChar">
    <w:name w:val="Comment Text Char"/>
    <w:basedOn w:val="DefaultParagraphFont"/>
    <w:link w:val="CommentText"/>
    <w:uiPriority w:val="99"/>
    <w:semiHidden/>
    <w:rsid w:val="005B4333"/>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5B4333"/>
    <w:rPr>
      <w:b/>
      <w:bCs/>
    </w:rPr>
  </w:style>
  <w:style w:type="character" w:customStyle="1" w:styleId="CommentSubjectChar">
    <w:name w:val="Comment Subject Char"/>
    <w:basedOn w:val="CommentTextChar"/>
    <w:link w:val="CommentSubject"/>
    <w:uiPriority w:val="99"/>
    <w:semiHidden/>
    <w:rsid w:val="005B4333"/>
    <w:rPr>
      <w:rFonts w:eastAsia="Times New Roman"/>
      <w:b/>
      <w:bCs/>
      <w:sz w:val="20"/>
      <w:szCs w:val="20"/>
      <w:lang w:val="en-US"/>
    </w:rPr>
  </w:style>
  <w:style w:type="paragraph" w:styleId="BalloonText">
    <w:name w:val="Balloon Text"/>
    <w:basedOn w:val="Normal"/>
    <w:link w:val="BalloonTextChar"/>
    <w:uiPriority w:val="99"/>
    <w:semiHidden/>
    <w:unhideWhenUsed/>
    <w:rsid w:val="005B4333"/>
    <w:rPr>
      <w:rFonts w:ascii="Tahoma" w:hAnsi="Tahoma" w:cs="Tahoma"/>
      <w:sz w:val="16"/>
      <w:szCs w:val="16"/>
    </w:rPr>
  </w:style>
  <w:style w:type="character" w:customStyle="1" w:styleId="BalloonTextChar">
    <w:name w:val="Balloon Text Char"/>
    <w:basedOn w:val="DefaultParagraphFont"/>
    <w:link w:val="BalloonText"/>
    <w:uiPriority w:val="99"/>
    <w:semiHidden/>
    <w:rsid w:val="005B4333"/>
    <w:rPr>
      <w:rFonts w:ascii="Tahoma" w:eastAsia="Times New Roman" w:hAnsi="Tahoma" w:cs="Tahoma"/>
      <w:sz w:val="16"/>
      <w:szCs w:val="16"/>
      <w:lang w:val="en-US"/>
    </w:rPr>
  </w:style>
  <w:style w:type="table" w:styleId="TableGrid">
    <w:name w:val="Table Grid"/>
    <w:basedOn w:val="TableNormal"/>
    <w:uiPriority w:val="59"/>
    <w:rsid w:val="005B433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4A9A"/>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E4A9A"/>
    <w:rPr>
      <w:sz w:val="20"/>
      <w:szCs w:val="20"/>
      <w:lang w:val="bg-BG"/>
    </w:rPr>
  </w:style>
  <w:style w:type="character" w:customStyle="1" w:styleId="EndnoteTextChar">
    <w:name w:val="Endnote Text Char"/>
    <w:basedOn w:val="DefaultParagraphFont"/>
    <w:link w:val="EndnoteText"/>
    <w:uiPriority w:val="99"/>
    <w:rsid w:val="002E4A9A"/>
    <w:rPr>
      <w:rFonts w:eastAsia="Times New Roman"/>
      <w:sz w:val="20"/>
      <w:szCs w:val="20"/>
    </w:rPr>
  </w:style>
  <w:style w:type="character" w:styleId="EndnoteReference">
    <w:name w:val="endnote reference"/>
    <w:basedOn w:val="DefaultParagraphFont"/>
    <w:uiPriority w:val="99"/>
    <w:semiHidden/>
    <w:unhideWhenUsed/>
    <w:rsid w:val="002E4A9A"/>
    <w:rPr>
      <w:vertAlign w:val="superscript"/>
    </w:rPr>
  </w:style>
  <w:style w:type="table" w:customStyle="1" w:styleId="TableGrid2">
    <w:name w:val="Table Grid2"/>
    <w:basedOn w:val="TableNormal"/>
    <w:next w:val="TableGrid"/>
    <w:uiPriority w:val="59"/>
    <w:rsid w:val="008A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E379A5"/>
    <w:pPr>
      <w:tabs>
        <w:tab w:val="left" w:pos="709"/>
      </w:tabs>
    </w:pPr>
    <w:rPr>
      <w:rFonts w:ascii="Tahoma" w:hAnsi="Tahoma"/>
      <w:lang w:val="pl-PL" w:eastAsia="pl-PL"/>
    </w:rPr>
  </w:style>
  <w:style w:type="character" w:styleId="Hyperlink">
    <w:name w:val="Hyperlink"/>
    <w:basedOn w:val="DefaultParagraphFont"/>
    <w:uiPriority w:val="99"/>
    <w:unhideWhenUsed/>
    <w:rsid w:val="00F04D40"/>
    <w:rPr>
      <w:color w:val="0000FF" w:themeColor="hyperlink"/>
      <w:u w:val="single"/>
    </w:rPr>
  </w:style>
  <w:style w:type="paragraph" w:styleId="Header">
    <w:name w:val="header"/>
    <w:basedOn w:val="Normal"/>
    <w:link w:val="HeaderChar"/>
    <w:uiPriority w:val="99"/>
    <w:unhideWhenUsed/>
    <w:rsid w:val="00AF5ADF"/>
    <w:pPr>
      <w:tabs>
        <w:tab w:val="center" w:pos="4536"/>
        <w:tab w:val="right" w:pos="9072"/>
      </w:tabs>
    </w:pPr>
  </w:style>
  <w:style w:type="character" w:customStyle="1" w:styleId="HeaderChar">
    <w:name w:val="Header Char"/>
    <w:basedOn w:val="DefaultParagraphFont"/>
    <w:link w:val="Header"/>
    <w:uiPriority w:val="99"/>
    <w:rsid w:val="00AF5ADF"/>
    <w:rPr>
      <w:rFonts w:eastAsia="Times New Roman"/>
      <w:lang w:val="en-US"/>
    </w:rPr>
  </w:style>
  <w:style w:type="paragraph" w:styleId="Footer">
    <w:name w:val="footer"/>
    <w:basedOn w:val="Normal"/>
    <w:link w:val="FooterChar"/>
    <w:uiPriority w:val="99"/>
    <w:unhideWhenUsed/>
    <w:rsid w:val="00AF5ADF"/>
    <w:pPr>
      <w:tabs>
        <w:tab w:val="center" w:pos="4536"/>
        <w:tab w:val="right" w:pos="9072"/>
      </w:tabs>
    </w:pPr>
  </w:style>
  <w:style w:type="character" w:customStyle="1" w:styleId="FooterChar">
    <w:name w:val="Footer Char"/>
    <w:basedOn w:val="DefaultParagraphFont"/>
    <w:link w:val="Footer"/>
    <w:uiPriority w:val="99"/>
    <w:rsid w:val="00AF5ADF"/>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33"/>
    <w:pPr>
      <w:spacing w:after="0" w:line="240" w:lineRule="auto"/>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5B4333"/>
    <w:rPr>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5B4333"/>
    <w:rPr>
      <w:rFonts w:eastAsiaTheme="minorHAnsi"/>
      <w:lang w:val="en-GB"/>
    </w:rPr>
  </w:style>
  <w:style w:type="character" w:customStyle="1" w:styleId="FootnoteTextChar1">
    <w:name w:val="Footnote Text Char1"/>
    <w:basedOn w:val="DefaultParagraphFont"/>
    <w:uiPriority w:val="99"/>
    <w:semiHidden/>
    <w:rsid w:val="005B4333"/>
    <w:rPr>
      <w:rFonts w:eastAsia="Times New Roman"/>
      <w:sz w:val="20"/>
      <w:szCs w:val="20"/>
      <w:lang w:val="en-US"/>
    </w:rPr>
  </w:style>
  <w:style w:type="paragraph" w:styleId="PlainText">
    <w:name w:val="Plain Text"/>
    <w:basedOn w:val="Normal"/>
    <w:link w:val="PlainTextChar"/>
    <w:rsid w:val="005B4333"/>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5B4333"/>
    <w:rPr>
      <w:rFonts w:ascii="Courier New" w:eastAsia="Times New Roman" w:hAnsi="Courier New" w:cs="Courier New"/>
      <w:sz w:val="20"/>
      <w:szCs w:val="20"/>
      <w:lang w:eastAsia="bg-BG"/>
    </w:rPr>
  </w:style>
  <w:style w:type="character" w:styleId="FootnoteReference">
    <w:name w:val="footnote reference"/>
    <w:uiPriority w:val="99"/>
    <w:rsid w:val="005B4333"/>
    <w:rPr>
      <w:vertAlign w:val="superscript"/>
    </w:rPr>
  </w:style>
  <w:style w:type="paragraph" w:styleId="ListParagraph">
    <w:name w:val="List Paragraph"/>
    <w:basedOn w:val="Normal"/>
    <w:uiPriority w:val="34"/>
    <w:qFormat/>
    <w:rsid w:val="005B4333"/>
    <w:pPr>
      <w:ind w:left="720"/>
      <w:contextualSpacing/>
    </w:pPr>
  </w:style>
  <w:style w:type="character" w:styleId="CommentReference">
    <w:name w:val="annotation reference"/>
    <w:basedOn w:val="DefaultParagraphFont"/>
    <w:uiPriority w:val="99"/>
    <w:semiHidden/>
    <w:unhideWhenUsed/>
    <w:rsid w:val="005B4333"/>
    <w:rPr>
      <w:sz w:val="16"/>
      <w:szCs w:val="16"/>
    </w:rPr>
  </w:style>
  <w:style w:type="paragraph" w:styleId="CommentText">
    <w:name w:val="annotation text"/>
    <w:basedOn w:val="Normal"/>
    <w:link w:val="CommentTextChar"/>
    <w:uiPriority w:val="99"/>
    <w:semiHidden/>
    <w:unhideWhenUsed/>
    <w:rsid w:val="005B4333"/>
    <w:rPr>
      <w:sz w:val="20"/>
      <w:szCs w:val="20"/>
    </w:rPr>
  </w:style>
  <w:style w:type="character" w:customStyle="1" w:styleId="CommentTextChar">
    <w:name w:val="Comment Text Char"/>
    <w:basedOn w:val="DefaultParagraphFont"/>
    <w:link w:val="CommentText"/>
    <w:uiPriority w:val="99"/>
    <w:semiHidden/>
    <w:rsid w:val="005B4333"/>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5B4333"/>
    <w:rPr>
      <w:b/>
      <w:bCs/>
    </w:rPr>
  </w:style>
  <w:style w:type="character" w:customStyle="1" w:styleId="CommentSubjectChar">
    <w:name w:val="Comment Subject Char"/>
    <w:basedOn w:val="CommentTextChar"/>
    <w:link w:val="CommentSubject"/>
    <w:uiPriority w:val="99"/>
    <w:semiHidden/>
    <w:rsid w:val="005B4333"/>
    <w:rPr>
      <w:rFonts w:eastAsia="Times New Roman"/>
      <w:b/>
      <w:bCs/>
      <w:sz w:val="20"/>
      <w:szCs w:val="20"/>
      <w:lang w:val="en-US"/>
    </w:rPr>
  </w:style>
  <w:style w:type="paragraph" w:styleId="BalloonText">
    <w:name w:val="Balloon Text"/>
    <w:basedOn w:val="Normal"/>
    <w:link w:val="BalloonTextChar"/>
    <w:uiPriority w:val="99"/>
    <w:semiHidden/>
    <w:unhideWhenUsed/>
    <w:rsid w:val="005B4333"/>
    <w:rPr>
      <w:rFonts w:ascii="Tahoma" w:hAnsi="Tahoma" w:cs="Tahoma"/>
      <w:sz w:val="16"/>
      <w:szCs w:val="16"/>
    </w:rPr>
  </w:style>
  <w:style w:type="character" w:customStyle="1" w:styleId="BalloonTextChar">
    <w:name w:val="Balloon Text Char"/>
    <w:basedOn w:val="DefaultParagraphFont"/>
    <w:link w:val="BalloonText"/>
    <w:uiPriority w:val="99"/>
    <w:semiHidden/>
    <w:rsid w:val="005B4333"/>
    <w:rPr>
      <w:rFonts w:ascii="Tahoma" w:eastAsia="Times New Roman" w:hAnsi="Tahoma" w:cs="Tahoma"/>
      <w:sz w:val="16"/>
      <w:szCs w:val="16"/>
      <w:lang w:val="en-US"/>
    </w:rPr>
  </w:style>
  <w:style w:type="table" w:styleId="TableGrid">
    <w:name w:val="Table Grid"/>
    <w:basedOn w:val="TableNormal"/>
    <w:uiPriority w:val="59"/>
    <w:rsid w:val="005B433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4A9A"/>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E4A9A"/>
    <w:rPr>
      <w:sz w:val="20"/>
      <w:szCs w:val="20"/>
      <w:lang w:val="bg-BG"/>
    </w:rPr>
  </w:style>
  <w:style w:type="character" w:customStyle="1" w:styleId="EndnoteTextChar">
    <w:name w:val="Endnote Text Char"/>
    <w:basedOn w:val="DefaultParagraphFont"/>
    <w:link w:val="EndnoteText"/>
    <w:uiPriority w:val="99"/>
    <w:rsid w:val="002E4A9A"/>
    <w:rPr>
      <w:rFonts w:eastAsia="Times New Roman"/>
      <w:sz w:val="20"/>
      <w:szCs w:val="20"/>
    </w:rPr>
  </w:style>
  <w:style w:type="character" w:styleId="EndnoteReference">
    <w:name w:val="endnote reference"/>
    <w:basedOn w:val="DefaultParagraphFont"/>
    <w:uiPriority w:val="99"/>
    <w:semiHidden/>
    <w:unhideWhenUsed/>
    <w:rsid w:val="002E4A9A"/>
    <w:rPr>
      <w:vertAlign w:val="superscript"/>
    </w:rPr>
  </w:style>
  <w:style w:type="table" w:customStyle="1" w:styleId="TableGrid2">
    <w:name w:val="Table Grid2"/>
    <w:basedOn w:val="TableNormal"/>
    <w:next w:val="TableGrid"/>
    <w:uiPriority w:val="59"/>
    <w:rsid w:val="008A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E379A5"/>
    <w:pPr>
      <w:tabs>
        <w:tab w:val="left" w:pos="709"/>
      </w:tabs>
    </w:pPr>
    <w:rPr>
      <w:rFonts w:ascii="Tahoma" w:hAnsi="Tahoma"/>
      <w:lang w:val="pl-PL" w:eastAsia="pl-PL"/>
    </w:rPr>
  </w:style>
  <w:style w:type="character" w:styleId="Hyperlink">
    <w:name w:val="Hyperlink"/>
    <w:basedOn w:val="DefaultParagraphFont"/>
    <w:uiPriority w:val="99"/>
    <w:unhideWhenUsed/>
    <w:rsid w:val="00F04D40"/>
    <w:rPr>
      <w:color w:val="0000FF" w:themeColor="hyperlink"/>
      <w:u w:val="single"/>
    </w:rPr>
  </w:style>
  <w:style w:type="paragraph" w:styleId="Header">
    <w:name w:val="header"/>
    <w:basedOn w:val="Normal"/>
    <w:link w:val="HeaderChar"/>
    <w:uiPriority w:val="99"/>
    <w:unhideWhenUsed/>
    <w:rsid w:val="00AF5ADF"/>
    <w:pPr>
      <w:tabs>
        <w:tab w:val="center" w:pos="4536"/>
        <w:tab w:val="right" w:pos="9072"/>
      </w:tabs>
    </w:pPr>
  </w:style>
  <w:style w:type="character" w:customStyle="1" w:styleId="HeaderChar">
    <w:name w:val="Header Char"/>
    <w:basedOn w:val="DefaultParagraphFont"/>
    <w:link w:val="Header"/>
    <w:uiPriority w:val="99"/>
    <w:rsid w:val="00AF5ADF"/>
    <w:rPr>
      <w:rFonts w:eastAsia="Times New Roman"/>
      <w:lang w:val="en-US"/>
    </w:rPr>
  </w:style>
  <w:style w:type="paragraph" w:styleId="Footer">
    <w:name w:val="footer"/>
    <w:basedOn w:val="Normal"/>
    <w:link w:val="FooterChar"/>
    <w:uiPriority w:val="99"/>
    <w:unhideWhenUsed/>
    <w:rsid w:val="00AF5ADF"/>
    <w:pPr>
      <w:tabs>
        <w:tab w:val="center" w:pos="4536"/>
        <w:tab w:val="right" w:pos="9072"/>
      </w:tabs>
    </w:pPr>
  </w:style>
  <w:style w:type="character" w:customStyle="1" w:styleId="FooterChar">
    <w:name w:val="Footer Char"/>
    <w:basedOn w:val="DefaultParagraphFont"/>
    <w:link w:val="Footer"/>
    <w:uiPriority w:val="99"/>
    <w:rsid w:val="00AF5ADF"/>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A487-36CF-4E54-9ED5-C18A3287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3725</Words>
  <Characters>21234</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Етап 1 </vt:lpstr>
      <vt:lpstr>        Етап 2 </vt:lpstr>
      <vt:lpstr>        Етап 3 </vt:lpstr>
      <vt:lpstr>    Съгласуване на изпълнението:</vt:lpstr>
    </vt:vector>
  </TitlesOfParts>
  <Company>CM</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Христина Микова</cp:lastModifiedBy>
  <cp:revision>2</cp:revision>
  <cp:lastPrinted>2016-03-12T11:39:00Z</cp:lastPrinted>
  <dcterms:created xsi:type="dcterms:W3CDTF">2016-04-07T09:28:00Z</dcterms:created>
  <dcterms:modified xsi:type="dcterms:W3CDTF">2016-04-07T09:28:00Z</dcterms:modified>
</cp:coreProperties>
</file>